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14.03.2024</w:t>
            </w:r>
          </w:p>
        </w:tc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121-п</w:t>
            </w:r>
          </w:p>
        </w:tc>
      </w:tr>
    </w:tbl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0D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>
        <w:rPr>
          <w:rFonts w:ascii="Times New Roman" w:hAnsi="Times New Roman"/>
          <w:sz w:val="28"/>
        </w:rPr>
        <w:t>постановление администрации</w:t>
      </w:r>
    </w:p>
    <w:p w14:paraId="0E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04.04.202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№170-п.</w:t>
      </w:r>
    </w:p>
    <w:p w14:paraId="0F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1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Внести в постановление </w:t>
      </w:r>
      <w:r>
        <w:rPr>
          <w:rFonts w:ascii="Times New Roman" w:hAnsi="Times New Roman"/>
          <w:sz w:val="28"/>
        </w:rPr>
        <w:t xml:space="preserve">администрации от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170</w:t>
      </w:r>
      <w:r>
        <w:rPr>
          <w:rFonts w:ascii="Times New Roman" w:hAnsi="Times New Roman"/>
          <w:sz w:val="28"/>
        </w:rPr>
        <w:t xml:space="preserve">-п «О </w:t>
      </w:r>
      <w:r>
        <w:rPr>
          <w:rFonts w:ascii="Times New Roman" w:hAnsi="Times New Roman"/>
          <w:sz w:val="28"/>
        </w:rPr>
        <w:t xml:space="preserve"> порядке создания, хранения, использования и восполнения резерва материальных ресурсов для ликвидации чрезвычайных ситуаций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 муниципального образования Северный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>» следующие изменения:</w:t>
      </w:r>
    </w:p>
    <w:p w14:paraId="11000000">
      <w:pPr>
        <w:pStyle w:val="Style_2"/>
        <w:ind/>
        <w:jc w:val="center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        </w:t>
      </w:r>
      <w:r>
        <w:rPr>
          <w:rFonts w:ascii="Times New Roman" w:hAnsi="Times New Roman"/>
          <w:spacing w:val="-1"/>
          <w:sz w:val="28"/>
        </w:rPr>
        <w:t>1.1</w:t>
      </w:r>
      <w:r>
        <w:rPr>
          <w:rFonts w:ascii="Times New Roman" w:hAnsi="Times New Roman"/>
          <w:spacing w:val="-1"/>
          <w:sz w:val="28"/>
        </w:rPr>
        <w:t>. Приложение</w:t>
      </w:r>
      <w:r>
        <w:rPr>
          <w:rFonts w:ascii="Times New Roman" w:hAnsi="Times New Roman"/>
          <w:spacing w:val="-1"/>
          <w:sz w:val="28"/>
        </w:rPr>
        <w:t xml:space="preserve"> №2</w:t>
      </w:r>
      <w:r>
        <w:rPr>
          <w:rFonts w:ascii="Times New Roman" w:hAnsi="Times New Roman"/>
          <w:spacing w:val="-1"/>
          <w:sz w:val="28"/>
        </w:rPr>
        <w:t xml:space="preserve"> к постановлению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04.04.2023</w:t>
      </w:r>
      <w:r>
        <w:rPr>
          <w:rFonts w:ascii="Times New Roman" w:hAnsi="Times New Roman"/>
          <w:sz w:val="28"/>
        </w:rPr>
        <w:t xml:space="preserve"> №170-п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изложить </w:t>
      </w:r>
      <w:r>
        <w:rPr>
          <w:rFonts w:ascii="Times New Roman" w:hAnsi="Times New Roman"/>
          <w:spacing w:val="-1"/>
          <w:sz w:val="28"/>
        </w:rPr>
        <w:t>в</w:t>
      </w:r>
    </w:p>
    <w:p w14:paraId="12000000">
      <w:pPr>
        <w:pStyle w:val="Style_2"/>
        <w:ind w:firstLine="0"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новой редакции, согласно приложению к </w:t>
      </w:r>
      <w:r>
        <w:rPr>
          <w:rFonts w:ascii="Times New Roman" w:hAnsi="Times New Roman"/>
          <w:spacing w:val="-1"/>
          <w:sz w:val="28"/>
        </w:rPr>
        <w:t>настоящему</w:t>
      </w:r>
      <w:r>
        <w:rPr>
          <w:rFonts w:ascii="Times New Roman" w:hAnsi="Times New Roman"/>
          <w:spacing w:val="-1"/>
          <w:sz w:val="28"/>
        </w:rPr>
        <w:t xml:space="preserve"> постановлению.</w:t>
      </w: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А.Н.</w:t>
      </w: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</w:t>
      </w:r>
      <w:r>
        <w:rPr>
          <w:rFonts w:ascii="Times New Roman" w:hAnsi="Times New Roman"/>
          <w:sz w:val="28"/>
        </w:rPr>
        <w:t>.</w:t>
      </w:r>
    </w:p>
    <w:p w14:paraId="15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6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М.В.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Журкин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widowControl w:val="0"/>
        <w:spacing w:after="0" w:line="240" w:lineRule="auto"/>
        <w:ind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                  </w:t>
      </w:r>
    </w:p>
    <w:p w14:paraId="1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      [МЕСТО ДЛЯ ПОДПИСИ]</w:t>
      </w:r>
    </w:p>
    <w:p w14:paraId="1A000000">
      <w:pPr>
        <w:widowControl w:val="0"/>
        <w:spacing w:after="0" w:line="240" w:lineRule="auto"/>
        <w:ind w:firstLine="708" w:left="0"/>
        <w:rPr>
          <w:rFonts w:ascii="Times New Roman" w:hAnsi="Times New Roman"/>
          <w:sz w:val="24"/>
        </w:rPr>
      </w:pPr>
    </w:p>
    <w:p w14:paraId="1B000000">
      <w:pPr>
        <w:widowControl w:val="0"/>
        <w:spacing w:after="0" w:line="240" w:lineRule="auto"/>
        <w:ind w:firstLine="708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</w:t>
      </w:r>
      <w:r>
        <w:rPr>
          <w:rFonts w:ascii="Times New Roman" w:hAnsi="Times New Roman"/>
          <w:sz w:val="24"/>
        </w:rPr>
        <w:t>в дело, ГО и ЧС,  финан</w:t>
      </w:r>
      <w:r>
        <w:rPr>
          <w:rFonts w:ascii="Times New Roman" w:hAnsi="Times New Roman"/>
          <w:sz w:val="24"/>
        </w:rPr>
        <w:t>совому отделу, отделу экономики</w:t>
      </w:r>
      <w:r>
        <w:rPr>
          <w:rFonts w:ascii="Times New Roman" w:hAnsi="Times New Roman"/>
          <w:sz w:val="24"/>
        </w:rPr>
        <w:t>, Алексеевой Е.А. Пестову Ю.В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1C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1D000000">
      <w:pPr>
        <w:pStyle w:val="Style_2"/>
        <w:ind/>
        <w:jc w:val="right"/>
        <w:rPr>
          <w:rFonts w:ascii="Times New Roman" w:hAnsi="Times New Roman"/>
          <w:sz w:val="28"/>
        </w:rPr>
      </w:pPr>
    </w:p>
    <w:p w14:paraId="1E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1F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                                                                                                                            </w:t>
      </w:r>
    </w:p>
    <w:p w14:paraId="20000000">
      <w:pPr>
        <w:pStyle w:val="Style_2"/>
        <w:ind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>14.03.2024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>121-п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2"/>
        <w:ind/>
        <w:jc w:val="right"/>
        <w:rPr>
          <w:rFonts w:ascii="Times New Roman" w:hAnsi="Times New Roman"/>
          <w:sz w:val="28"/>
        </w:rPr>
      </w:pPr>
    </w:p>
    <w:p w14:paraId="23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sz w:val="28"/>
        </w:rPr>
        <w:t>2</w:t>
      </w:r>
    </w:p>
    <w:p w14:paraId="24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                                                                                                                            </w:t>
      </w:r>
    </w:p>
    <w:p w14:paraId="2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04.04.202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№ 170-п</w:t>
      </w:r>
    </w:p>
    <w:p w14:paraId="2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Номенклатура и объемы </w:t>
      </w:r>
      <w:r>
        <w:rPr>
          <w:rFonts w:ascii="Times New Roman" w:hAnsi="Times New Roman"/>
          <w:b w:val="1"/>
          <w:sz w:val="28"/>
        </w:rPr>
        <w:t>резерва материальных ресурсов для ликвидации чрезвычайных ситуаций на территории муниципального образования Северный район Оренбургской области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09"/>
        <w:gridCol w:w="3798"/>
        <w:gridCol w:w="1417"/>
        <w:gridCol w:w="1797"/>
        <w:gridCol w:w="1361"/>
      </w:tblGrid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N </w:t>
            </w:r>
            <w:r>
              <w:rPr>
                <w:rFonts w:ascii="Times New Roman" w:hAnsi="Times New Roman"/>
                <w:sz w:val="28"/>
              </w:rPr>
              <w:t>пп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материальных средств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Единица измерения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 на 1 чел.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I. Продовольствие (из расчета на 50 человек на 3 суток)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Крупы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Макаронные изделия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Консервы молочные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9,75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Консервы мясные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Консервы рыбные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Индивидуальный рацион питания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Сахар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11,25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1.9.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Соль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1.10.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 черный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Вода питьевая (бутилированная)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2,5/5,0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375/750</w:t>
            </w: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3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ГОСТ 22.3.006-87В "Нормы водоснабжения населения". В числителе указаны нормы </w:t>
            </w:r>
            <w:r>
              <w:rPr>
                <w:rFonts w:ascii="Times New Roman" w:hAnsi="Times New Roman"/>
                <w:sz w:val="28"/>
              </w:rPr>
              <w:t>водообеспечения</w:t>
            </w:r>
            <w:r>
              <w:rPr>
                <w:rFonts w:ascii="Times New Roman" w:hAnsi="Times New Roman"/>
                <w:sz w:val="28"/>
              </w:rPr>
              <w:t xml:space="preserve"> для питья взрослого человека и детей старше 14 лет, а в знаменателе - нормы для детей от 1 года до 14 лет и кормящих матерей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II. Вещевое имущество (из расчета на 50 человек)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Одежда верхняя прочая (по </w:t>
            </w:r>
            <w:r>
              <w:rPr>
                <w:rFonts w:ascii="Times New Roman" w:hAnsi="Times New Roman"/>
                <w:sz w:val="28"/>
              </w:rPr>
              <w:t>сезону)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Обувь (по сезону)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пара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Белье нательное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Изделия чулочно-носочные трикотажные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пара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Перчатки, рукавицы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пара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Головные уборы прочие (по сезону)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III. Предметы первой необходимости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Палатка 12-местная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Кровати раскладные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Одеяло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Подушка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Матрас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Постельные принадлежности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Полотенца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Тепловые пушки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Рукомойники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Одноразовая пластиковая тарелка (суповая)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3.11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Одноразовая пластиковая тарелка (под второе)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3.12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Одноразовая пластиковая кружка (стакан)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Одноразовые пластиковые вилки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Одноразовые пластиковые л</w:t>
            </w:r>
            <w:r>
              <w:rPr>
                <w:rFonts w:ascii="Times New Roman" w:hAnsi="Times New Roman"/>
                <w:sz w:val="28"/>
              </w:rPr>
              <w:t>ожк</w:t>
            </w:r>
            <w:r>
              <w:rPr>
                <w:rFonts w:ascii="Times New Roman" w:hAnsi="Times New Roman"/>
                <w:sz w:val="28"/>
              </w:rPr>
              <w:t>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3.15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Мыло хозяйственное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0,200 граммов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3.16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дезинфекции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3.17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Керосиновые лампы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3.18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Спички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коробок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3.19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Свечи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3.20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Мешки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Термоса для транспортировки </w:t>
            </w:r>
            <w:r>
              <w:rPr>
                <w:rFonts w:ascii="Times New Roman" w:hAnsi="Times New Roman"/>
                <w:sz w:val="28"/>
              </w:rPr>
              <w:t>готовой пищи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0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IV. Медикаменты и медицинское имущество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Индивидуальный противохимический пакет ИПП-11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 индивидуальный медицинский гражданской защиты (КИМГЗ)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 индивидуальный противоожоговый с перевязочным пакетом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Носилки мягкие </w:t>
            </w:r>
            <w:r>
              <w:rPr>
                <w:rFonts w:ascii="Times New Roman" w:hAnsi="Times New Roman"/>
                <w:sz w:val="28"/>
              </w:rPr>
              <w:t>безкаркасные</w:t>
            </w:r>
            <w:r>
              <w:rPr>
                <w:rFonts w:ascii="Times New Roman" w:hAnsi="Times New Roman"/>
                <w:sz w:val="28"/>
              </w:rPr>
              <w:t xml:space="preserve"> огнестойкие (огнезащитные)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Санитарная сумка с укладкой для оказания первой помощи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1/20 пострадавших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Набор перевязочных средств противоожоговый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1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V. Строительные материалы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Лес строительный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куб. 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Пиломатериалы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куб. 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Плита древесно-стружечная</w:t>
            </w:r>
          </w:p>
          <w:p w14:paraId="2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(ОСБ 2500 x 1250 x 10)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  <w:r>
              <w:rPr>
                <w:rFonts w:ascii="Times New Roman" w:hAnsi="Times New Roman"/>
                <w:sz w:val="28"/>
              </w:rPr>
              <w:t>..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Песок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куб. 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Рубероид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рулон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5.7.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Шифер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 </w:t>
            </w:r>
            <w:r>
              <w:rPr>
                <w:rFonts w:ascii="Times New Roman" w:hAnsi="Times New Roman"/>
                <w:sz w:val="28"/>
              </w:rPr>
              <w:t>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5.8.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Стекло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кв. 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5.9.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Гвозди 100 – 150 мм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5.10.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Скобы строительные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Кабель АПВ-10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 </w:t>
            </w:r>
            <w:r>
              <w:rPr>
                <w:rFonts w:ascii="Times New Roman" w:hAnsi="Times New Roman"/>
                <w:sz w:val="28"/>
              </w:rPr>
              <w:t>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Кабель АПВ-16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 </w:t>
            </w:r>
            <w:r>
              <w:rPr>
                <w:rFonts w:ascii="Times New Roman" w:hAnsi="Times New Roman"/>
                <w:sz w:val="28"/>
              </w:rPr>
              <w:t>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Кабель ВВГ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 </w:t>
            </w:r>
            <w:r>
              <w:rPr>
                <w:rFonts w:ascii="Times New Roman" w:hAnsi="Times New Roman"/>
                <w:sz w:val="28"/>
              </w:rPr>
              <w:t>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Комплект </w:t>
            </w:r>
            <w:r>
              <w:rPr>
                <w:rFonts w:ascii="Times New Roman" w:hAnsi="Times New Roman"/>
                <w:sz w:val="28"/>
              </w:rPr>
              <w:t>спецобработки</w:t>
            </w:r>
            <w:r>
              <w:rPr>
                <w:rFonts w:ascii="Times New Roman" w:hAnsi="Times New Roman"/>
                <w:sz w:val="28"/>
              </w:rPr>
              <w:t xml:space="preserve"> ИДК-1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Каустическая сода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Пищевая сода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1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Горюче-смазочные материалы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Бензин Аи-92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Дизельное топливо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Масло моторное для карбюраторных двигателей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Масло моторное для дизельных двигателей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6.5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Керосин осветительный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1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VII. Оборудование для проведения аварийно-спасательных работ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10000">
            <w:pPr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Спецоборудование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Бензопила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Электропила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Бензорез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Генератор переменного тока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Генератор постоянного тока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Дрель ударная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7.7.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Лебедка ручная рычажная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1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VIII. Транспортные средства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Лодка дюралевая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Лодка гребная ПВХ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IX. Средства индивидуальной защиты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Гражданский противогаз УЗС ВК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Самоспасатель</w:t>
            </w:r>
            <w:r>
              <w:rPr>
                <w:rFonts w:ascii="Times New Roman" w:hAnsi="Times New Roman"/>
                <w:sz w:val="28"/>
              </w:rPr>
              <w:t xml:space="preserve"> фильтрующий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Противогаз фильтрующий</w:t>
            </w:r>
          </w:p>
          <w:p w14:paraId="B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защитой от АХОВ)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Респиратор фильтрующий Р-2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 защитной одежды Л-1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1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X. Средства обеспечения связи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Радиостанция УКВ носимая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Телефонные аппараты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Рупорный ручной громкоговоритель "Мегафон"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1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XI. Резервы технических средств оповещения населения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Ручные механические сирены (технические средства оповещения населения)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14:paraId="E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2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3010000">
      <w:pPr>
        <w:spacing w:after="100" w:before="100" w:line="240" w:lineRule="auto"/>
        <w:ind/>
        <w:jc w:val="both"/>
        <w:rPr>
          <w:rFonts w:ascii="Times New Roman" w:hAnsi="Times New Roman"/>
          <w:sz w:val="2"/>
        </w:rPr>
      </w:pPr>
    </w:p>
    <w:p w14:paraId="E4010000"/>
    <w:p w14:paraId="E5010000">
      <w:pPr>
        <w:tabs>
          <w:tab w:leader="none" w:pos="15026" w:val="right"/>
        </w:tabs>
        <w:spacing w:after="0" w:line="240" w:lineRule="auto"/>
        <w:ind/>
      </w:pPr>
    </w:p>
    <w:sectPr>
      <w:pgSz w:h="16838" w:orient="portrait" w:w="11905"/>
      <w:pgMar w:bottom="567" w:footer="0" w:gutter="0" w:header="0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2024-03-18T09:35:01Z</dcterms:modified>
</cp:coreProperties>
</file>