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E1" w:rsidRPr="000A04E1" w:rsidRDefault="000A04E1" w:rsidP="00C46C88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</w:p>
    <w:p w:rsidR="000A04E1" w:rsidRPr="000A04E1" w:rsidRDefault="00C46C88" w:rsidP="000A04E1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Протокол</w:t>
      </w:r>
    </w:p>
    <w:p w:rsidR="000A04E1" w:rsidRPr="000A04E1" w:rsidRDefault="000A04E1" w:rsidP="000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0A04E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публичных слушаний </w:t>
      </w:r>
    </w:p>
    <w:p w:rsidR="000A04E1" w:rsidRPr="000A04E1" w:rsidRDefault="000A04E1" w:rsidP="000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0A04E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«Об утверждении отчета об исполнении бюджета муниципального образования Северный район за 202</w:t>
      </w:r>
      <w:r w:rsid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4</w:t>
      </w:r>
      <w:r w:rsidRPr="000A04E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год» </w:t>
      </w:r>
    </w:p>
    <w:p w:rsidR="000A04E1" w:rsidRPr="000A04E1" w:rsidRDefault="000A04E1" w:rsidP="000A04E1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0A04E1" w:rsidRDefault="000A04E1" w:rsidP="000A04E1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</w:t>
      </w:r>
      <w:r w:rsidR="00C46C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.05.202</w:t>
      </w:r>
      <w:r w:rsidR="00C46C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</w:t>
      </w:r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с. </w:t>
      </w:r>
      <w:proofErr w:type="gramStart"/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Северное</w:t>
      </w:r>
      <w:proofErr w:type="gramEnd"/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</w:t>
      </w:r>
      <w:r w:rsidR="006A271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</w:t>
      </w:r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№ </w:t>
      </w:r>
      <w:r w:rsidR="00C46C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</w:t>
      </w:r>
    </w:p>
    <w:p w:rsidR="000A04E1" w:rsidRPr="000A04E1" w:rsidRDefault="000A04E1" w:rsidP="000A04E1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213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C46C88" w:rsidRDefault="00C46C88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Администрация муниципального образования Северный район, зал заседаний</w:t>
      </w:r>
    </w:p>
    <w:p w:rsidR="00C46C88" w:rsidRDefault="00C46C88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C46C88" w:rsidRDefault="00C46C88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Дата и время проведения: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15 мая 2025 года в 12:00</w:t>
      </w:r>
    </w:p>
    <w:p w:rsidR="00C46C88" w:rsidRDefault="00C46C88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C46C88" w:rsidRDefault="00C46C88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C46C88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Председательствующий</w:t>
      </w:r>
      <w:proofErr w:type="gramStart"/>
      <w:r w:rsidRP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:</w:t>
      </w:r>
      <w:proofErr w:type="gramEnd"/>
      <w:r w:rsid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Журкин</w:t>
      </w:r>
      <w:r w:rsidR="00A9630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М.</w:t>
      </w:r>
      <w:proofErr w:type="gramStart"/>
      <w:r w:rsidR="00A9630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В</w:t>
      </w:r>
      <w:proofErr w:type="gramEnd"/>
      <w:r w:rsidR="00A9630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="00C46C8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- </w:t>
      </w:r>
      <w:proofErr w:type="gramStart"/>
      <w:r w:rsidR="00C46C88" w:rsidRPr="00C46C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глава</w:t>
      </w:r>
      <w:proofErr w:type="gramEnd"/>
      <w:r w:rsidR="00C46C88" w:rsidRPr="00C46C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администрации Северного района</w:t>
      </w:r>
    </w:p>
    <w:p w:rsidR="00A96309" w:rsidRDefault="00A96309" w:rsidP="00AB559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96309" w:rsidRDefault="00A96309" w:rsidP="00AB559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11150" w:rsidRDefault="00A96309" w:rsidP="00AB559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9630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ПРИСУТСТВОВАЛИ:</w:t>
      </w:r>
      <w:r w:rsidR="00A11150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</w:p>
    <w:p w:rsidR="00A11150" w:rsidRDefault="00A11150" w:rsidP="00AB559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0A04E1" w:rsidRDefault="00A11150" w:rsidP="00AB5596">
      <w:pPr>
        <w:pStyle w:val="aa"/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11150">
        <w:rPr>
          <w:rFonts w:ascii="Times New Roman" w:hAnsi="Times New Roman" w:cs="Times New Roman"/>
          <w:i w:val="0"/>
          <w:sz w:val="28"/>
          <w:szCs w:val="28"/>
        </w:rPr>
        <w:t>Председатель Счетной палаты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A11150" w:rsidRDefault="00A11150" w:rsidP="00AB5596">
      <w:pPr>
        <w:pStyle w:val="aa"/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Специалисты финансового отдела и администрации;</w:t>
      </w:r>
    </w:p>
    <w:p w:rsidR="00A11150" w:rsidRPr="00A11150" w:rsidRDefault="00A11150" w:rsidP="00AB559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Специалисты централизованной бухгалтерии.</w:t>
      </w: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A96309" w:rsidRDefault="00A96309" w:rsidP="000A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9630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Повестка дня:</w:t>
      </w: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0A04E1" w:rsidRDefault="000A04E1" w:rsidP="000D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A04E1">
        <w:rPr>
          <w:rFonts w:ascii="Times New Roman" w:hAnsi="Times New Roman" w:cs="Times New Roman"/>
          <w:b/>
          <w:i w:val="0"/>
          <w:sz w:val="28"/>
          <w:szCs w:val="28"/>
        </w:rPr>
        <w:t>«</w:t>
      </w:r>
      <w:r w:rsidRPr="000A04E1">
        <w:rPr>
          <w:rFonts w:ascii="Times New Roman" w:hAnsi="Times New Roman" w:cs="Times New Roman"/>
          <w:i w:val="0"/>
          <w:sz w:val="28"/>
          <w:szCs w:val="28"/>
        </w:rPr>
        <w:t>Об утверждении отчета об исполнении бюджета муниципального образования Северный район за 202</w:t>
      </w:r>
      <w:r w:rsidR="00A96309">
        <w:rPr>
          <w:rFonts w:ascii="Times New Roman" w:hAnsi="Times New Roman" w:cs="Times New Roman"/>
          <w:i w:val="0"/>
          <w:sz w:val="28"/>
          <w:szCs w:val="28"/>
        </w:rPr>
        <w:t>4</w:t>
      </w:r>
      <w:r w:rsidRPr="000A04E1">
        <w:rPr>
          <w:rFonts w:ascii="Times New Roman" w:hAnsi="Times New Roman" w:cs="Times New Roman"/>
          <w:i w:val="0"/>
          <w:sz w:val="28"/>
          <w:szCs w:val="28"/>
        </w:rPr>
        <w:t xml:space="preserve"> год».</w:t>
      </w:r>
    </w:p>
    <w:p w:rsid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96309" w:rsidRDefault="00AD6116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     </w:t>
      </w:r>
      <w:r w:rsidR="00A96309" w:rsidRP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Выступили:  Журкин М.В.</w:t>
      </w:r>
      <w:r w:rsidR="00A9630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– председательствующий заседания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который ознакомил присутствующих с порядком проведения публичных слушаний.</w:t>
      </w:r>
    </w:p>
    <w:p w:rsidR="00AD6116" w:rsidRDefault="00AD6116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D6116" w:rsidRPr="00AD6116" w:rsidRDefault="00AD6116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Слово для доклада было предоставлено </w:t>
      </w:r>
      <w:r w:rsidRPr="00AD611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заведующему финансовым отделом администрации Северного района</w:t>
      </w:r>
      <w:r w:rsid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AD611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- Колоколовой Л.В.</w:t>
      </w:r>
    </w:p>
    <w:p w:rsidR="000A04E1" w:rsidRPr="000A04E1" w:rsidRDefault="00AD6116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</w:p>
    <w:p w:rsidR="00691D14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     Слушали: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 w:rsidR="001571E9" w:rsidRPr="00AD611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Колоколову</w:t>
      </w:r>
      <w:r w:rsid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="000D07AC" w:rsidRP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Л.В. </w:t>
      </w:r>
      <w:r w:rsidR="000A04E1"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–</w:t>
      </w:r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 xml:space="preserve"> заведующего финансовым отделом, которая </w:t>
      </w:r>
      <w:r w:rsidR="000A04E1"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>доложила, что годовой отчет об исполнении бюджета муниципального образования Северный район за 202</w:t>
      </w:r>
      <w:r w:rsidR="00A96309">
        <w:rPr>
          <w:rFonts w:ascii="Times New Roman" w:hAnsi="Times New Roman" w:cs="Times New Roman"/>
          <w:i w:val="0"/>
          <w:sz w:val="28"/>
          <w:szCs w:val="28"/>
        </w:rPr>
        <w:t>4</w:t>
      </w:r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 xml:space="preserve"> год составлен в соответствии с требованиями Бюджетного кодекса Российской Федерации,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</w:t>
      </w:r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lastRenderedPageBreak/>
        <w:t>Российской Федерации от 28.12.2010г. № 191н и принят</w:t>
      </w:r>
      <w:proofErr w:type="gramEnd"/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>Министерством финансов</w:t>
      </w:r>
      <w:proofErr w:type="gramEnd"/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 xml:space="preserve"> Оренбургской области (Письмо </w:t>
      </w:r>
      <w:r>
        <w:rPr>
          <w:rFonts w:ascii="Times New Roman" w:hAnsi="Times New Roman" w:cs="Times New Roman"/>
          <w:i w:val="0"/>
          <w:sz w:val="28"/>
          <w:szCs w:val="28"/>
        </w:rPr>
        <w:t>17/11-60/682 от 15.04.2025 года</w:t>
      </w:r>
      <w:r w:rsidR="00691D14" w:rsidRPr="00691D14">
        <w:rPr>
          <w:rFonts w:ascii="Times New Roman" w:hAnsi="Times New Roman" w:cs="Times New Roman"/>
          <w:i w:val="0"/>
          <w:sz w:val="28"/>
          <w:szCs w:val="28"/>
        </w:rPr>
        <w:t>).</w:t>
      </w:r>
    </w:p>
    <w:p w:rsidR="00AD6116" w:rsidRPr="00AD6116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Pr="00AD6116">
        <w:rPr>
          <w:rFonts w:ascii="Times New Roman" w:hAnsi="Times New Roman" w:cs="Times New Roman"/>
          <w:i w:val="0"/>
          <w:sz w:val="28"/>
          <w:szCs w:val="28"/>
        </w:rPr>
        <w:t xml:space="preserve">Плановые показатели доходной части бюджета муниципального образования Северный район за 2024 год исполнены на 101,6 %. </w:t>
      </w:r>
    </w:p>
    <w:p w:rsidR="00AD6116" w:rsidRPr="00AD6116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AD6116" w:rsidRPr="00AD6116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D6116">
        <w:rPr>
          <w:rFonts w:ascii="Times New Roman" w:hAnsi="Times New Roman" w:cs="Times New Roman"/>
          <w:i w:val="0"/>
          <w:sz w:val="28"/>
          <w:szCs w:val="28"/>
        </w:rPr>
        <w:t xml:space="preserve">Сумма поступлений доходов составила 615 633,2 тыс. рублей, при годовом плане 606 151,7 тыс. рублей. </w:t>
      </w:r>
    </w:p>
    <w:p w:rsidR="00AD6116" w:rsidRPr="00AD6116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AD6116" w:rsidRPr="00AD6116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D6116">
        <w:rPr>
          <w:rFonts w:ascii="Times New Roman" w:hAnsi="Times New Roman" w:cs="Times New Roman"/>
          <w:i w:val="0"/>
          <w:sz w:val="28"/>
          <w:szCs w:val="28"/>
        </w:rPr>
        <w:t>В общей сумме поступлений в бюджете района налоговые и неналоговые доходы  составили 1</w:t>
      </w:r>
      <w:r>
        <w:rPr>
          <w:rFonts w:ascii="Times New Roman" w:hAnsi="Times New Roman" w:cs="Times New Roman"/>
          <w:i w:val="0"/>
          <w:sz w:val="28"/>
          <w:szCs w:val="28"/>
        </w:rPr>
        <w:t>62 253,7 тыс. рублей или 26,4%.</w:t>
      </w:r>
    </w:p>
    <w:p w:rsidR="00AD6116" w:rsidRDefault="00AD6116" w:rsidP="00AD61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D6116">
        <w:rPr>
          <w:rFonts w:ascii="Times New Roman" w:hAnsi="Times New Roman" w:cs="Times New Roman"/>
          <w:i w:val="0"/>
          <w:sz w:val="28"/>
          <w:szCs w:val="28"/>
        </w:rPr>
        <w:t xml:space="preserve">       Увеличение налоговых и неналоговых доходов в сравнении с аналогичным периодом  составило 12 805,20 тыс. рублей.</w:t>
      </w:r>
    </w:p>
    <w:p w:rsidR="00A11150" w:rsidRDefault="00A11150" w:rsidP="000D07AC">
      <w:pPr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691D14" w:rsidRPr="00691D14" w:rsidRDefault="00691D14" w:rsidP="000D07AC">
      <w:pPr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bookmarkStart w:id="0" w:name="_GoBack"/>
      <w:bookmarkEnd w:id="0"/>
      <w:r w:rsidRPr="00691D14">
        <w:rPr>
          <w:rFonts w:ascii="Times New Roman" w:hAnsi="Times New Roman" w:cs="Times New Roman"/>
          <w:b/>
          <w:bCs/>
          <w:i w:val="0"/>
          <w:sz w:val="28"/>
          <w:szCs w:val="28"/>
        </w:rPr>
        <w:t>Итоги исполнения</w:t>
      </w:r>
    </w:p>
    <w:p w:rsidR="00691D14" w:rsidRPr="00691D14" w:rsidRDefault="00691D14" w:rsidP="000D07AC">
      <w:pPr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691D14">
        <w:rPr>
          <w:rFonts w:ascii="Times New Roman" w:hAnsi="Times New Roman" w:cs="Times New Roman"/>
          <w:b/>
          <w:bCs/>
          <w:i w:val="0"/>
          <w:sz w:val="28"/>
          <w:szCs w:val="28"/>
        </w:rPr>
        <w:t>по налоговым и неналоговым доходам в 202</w:t>
      </w:r>
      <w:r w:rsidR="007876A8">
        <w:rPr>
          <w:rFonts w:ascii="Times New Roman" w:hAnsi="Times New Roman" w:cs="Times New Roman"/>
          <w:b/>
          <w:bCs/>
          <w:i w:val="0"/>
          <w:sz w:val="28"/>
          <w:szCs w:val="28"/>
        </w:rPr>
        <w:t>4</w:t>
      </w:r>
      <w:r w:rsidRPr="00691D14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году</w:t>
      </w:r>
    </w:p>
    <w:p w:rsidR="00CB4FD4" w:rsidRPr="00691D14" w:rsidRDefault="00CB4FD4" w:rsidP="000D07AC">
      <w:pPr>
        <w:spacing w:after="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1985"/>
        <w:gridCol w:w="1842"/>
      </w:tblGrid>
      <w:tr w:rsidR="00CB4FD4" w:rsidRPr="00CB4FD4" w:rsidTr="00A11150">
        <w:trPr>
          <w:trHeight w:val="1650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>исполнено на 01.01.2024 год</w:t>
            </w:r>
          </w:p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>исполнено на 01.01.2024 год</w:t>
            </w:r>
          </w:p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>Отклонение 2024 г к 2023 г</w:t>
            </w:r>
          </w:p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CB4FD4" w:rsidRPr="00CB4FD4" w:rsidTr="00A11150">
        <w:trPr>
          <w:trHeight w:val="312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149 448 501,22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162 253 698,55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+12 805 197,33</w:t>
            </w:r>
          </w:p>
        </w:tc>
      </w:tr>
      <w:tr w:rsidR="00CB4FD4" w:rsidRPr="00CB4FD4" w:rsidTr="00A11150">
        <w:trPr>
          <w:trHeight w:val="312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115 376 778,05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140 994 242,21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+25 617 464,16</w:t>
            </w:r>
          </w:p>
        </w:tc>
      </w:tr>
      <w:tr w:rsidR="00CB4FD4" w:rsidRPr="00CB4FD4" w:rsidTr="00A11150">
        <w:trPr>
          <w:trHeight w:val="312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13 912 606,73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6 993 406,52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-6 919 200,21</w:t>
            </w:r>
          </w:p>
        </w:tc>
      </w:tr>
      <w:tr w:rsidR="00CB4FD4" w:rsidRPr="00CB4FD4" w:rsidTr="00A11150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14 310,00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-14 310,00</w:t>
            </w:r>
          </w:p>
        </w:tc>
      </w:tr>
      <w:tr w:rsidR="00CB4FD4" w:rsidRPr="00CB4FD4" w:rsidTr="00A11150">
        <w:trPr>
          <w:trHeight w:val="312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669 553,69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1 278 246,17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+608 692,48</w:t>
            </w:r>
          </w:p>
        </w:tc>
      </w:tr>
      <w:tr w:rsidR="00CB4FD4" w:rsidRPr="00CB4FD4" w:rsidTr="00A11150">
        <w:trPr>
          <w:trHeight w:val="855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ЗАДОЛЖЕННОСТ И</w:t>
            </w:r>
            <w:proofErr w:type="gramEnd"/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-60,41</w:t>
            </w:r>
          </w:p>
        </w:tc>
      </w:tr>
      <w:tr w:rsidR="00CB4FD4" w:rsidRPr="00CB4FD4" w:rsidTr="00A11150">
        <w:trPr>
          <w:trHeight w:val="624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11 151 805,24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11 027 526,67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-124 278,57</w:t>
            </w:r>
          </w:p>
        </w:tc>
      </w:tr>
      <w:tr w:rsidR="00CB4FD4" w:rsidRPr="00CB4FD4" w:rsidTr="00A11150">
        <w:trPr>
          <w:trHeight w:val="465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462 449,12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518 717,44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+56 268,32</w:t>
            </w:r>
          </w:p>
        </w:tc>
      </w:tr>
      <w:tr w:rsidR="00CB4FD4" w:rsidRPr="00CB4FD4" w:rsidTr="00A11150">
        <w:trPr>
          <w:trHeight w:val="935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3 081,71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-3 081,71</w:t>
            </w:r>
          </w:p>
        </w:tc>
      </w:tr>
      <w:tr w:rsidR="00CB4FD4" w:rsidRPr="00CB4FD4" w:rsidTr="00A11150">
        <w:trPr>
          <w:trHeight w:val="765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7 397 528,33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975 653,86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-6 421 874,47</w:t>
            </w:r>
          </w:p>
        </w:tc>
      </w:tr>
      <w:tr w:rsidR="00CB4FD4" w:rsidRPr="00CB4FD4" w:rsidTr="00A11150">
        <w:trPr>
          <w:trHeight w:val="405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460 327,94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305 404,09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-154 923,85</w:t>
            </w:r>
          </w:p>
        </w:tc>
      </w:tr>
      <w:tr w:rsidR="00CB4FD4" w:rsidRPr="00CB4FD4" w:rsidTr="00A11150">
        <w:trPr>
          <w:trHeight w:val="447"/>
        </w:trPr>
        <w:tc>
          <w:tcPr>
            <w:tcW w:w="3686" w:type="dxa"/>
            <w:shd w:val="clear" w:color="auto" w:fill="auto"/>
            <w:vAlign w:val="center"/>
            <w:hideMark/>
          </w:tcPr>
          <w:p w:rsidR="00CB4FD4" w:rsidRPr="00CB4FD4" w:rsidRDefault="00CB4FD4" w:rsidP="00CB4FD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ПРОЧИЕ НЕНАЛОГОВЫЕ  ДОХОДЫ </w:t>
            </w:r>
          </w:p>
        </w:tc>
        <w:tc>
          <w:tcPr>
            <w:tcW w:w="2268" w:type="dxa"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160 501,59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B4FD4" w:rsidRPr="00CB4FD4" w:rsidRDefault="00CB4FD4" w:rsidP="00C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B4FD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+160 501,59</w:t>
            </w:r>
          </w:p>
        </w:tc>
      </w:tr>
    </w:tbl>
    <w:p w:rsidR="00691D14" w:rsidRPr="00691D14" w:rsidRDefault="00691D14" w:rsidP="00691D14">
      <w:pPr>
        <w:spacing w:after="0"/>
        <w:jc w:val="both"/>
        <w:rPr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96F8F">
        <w:rPr>
          <w:rFonts w:ascii="Times New Roman" w:hAnsi="Times New Roman" w:cs="Times New Roman"/>
          <w:i w:val="0"/>
          <w:sz w:val="28"/>
          <w:szCs w:val="28"/>
        </w:rPr>
        <w:t>Исполнение безвозмездных поступлений в 2024 году  составило  453 379,5 тыс. рублей  или  99,7%  от  бюджетных назначений, утвержденных с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 xml:space="preserve">        Предоставленные из областного бюджета межбюджетные трансферты (рисунок 2) исполнены в 2024 году в суммах: </w:t>
      </w: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 xml:space="preserve"> дотации бюджетам бюджетной системы РФ в  сумме  137 959,8 тыс. рублей (100% от плана 137 959,8 тыс. рублей);</w:t>
      </w: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 xml:space="preserve"> субсидии – 65 621,4 тыс. рублей  (99,7%  от  плана  65 791,0 тыс. рублей);</w:t>
      </w: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 xml:space="preserve"> субвенции – 182 226,1 тыс. рублей (99,2% от плана 183 623,5 тыс. рублей);</w:t>
      </w: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 xml:space="preserve"> иные межбюджетные трансферты в сумме 64 822,2 тыс. рублей (100% от плана – 64 822,2 тыс. рублей);</w:t>
      </w: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 xml:space="preserve"> прочие безвозмездные поступления в бюджеты муниципальных районов –  2 750,0 тыс. рублей (100% от плана – 2 750,0 тыс. рублей);</w:t>
      </w:r>
    </w:p>
    <w:p w:rsidR="00196F8F" w:rsidRPr="00196F8F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96F8F">
        <w:rPr>
          <w:rFonts w:ascii="Times New Roman" w:hAnsi="Times New Roman" w:cs="Times New Roman"/>
          <w:i w:val="0"/>
          <w:sz w:val="28"/>
          <w:szCs w:val="28"/>
        </w:rPr>
        <w:t>- доходы бюджетов бюджетной системы Российской Федерации от возврата  остатков субсидий, субвенций  и иных межбюджетных трансфертов, имеющих целевое назначение, прошлых лет  - 9,0 тыс. рублей (план 0,0 тыс. рублей);</w:t>
      </w:r>
    </w:p>
    <w:p w:rsidR="00691D14" w:rsidRPr="00691D14" w:rsidRDefault="00196F8F" w:rsidP="00196F8F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196F8F">
        <w:rPr>
          <w:rFonts w:ascii="Times New Roman" w:hAnsi="Times New Roman" w:cs="Times New Roman"/>
          <w:i w:val="0"/>
          <w:sz w:val="28"/>
          <w:szCs w:val="28"/>
        </w:rPr>
        <w:t>возврат остатков субсидий, субвенций и иных межбюджетных трансфертов, имеющих целевое назначение прошлых лет из бюджетов муниципальных районов  на сумму 9,0 тыс. рублей  со знаком «минус» (план 0,0 тыс. рублей).</w:t>
      </w:r>
    </w:p>
    <w:p w:rsidR="004147C4" w:rsidRDefault="004147C4" w:rsidP="00691D14">
      <w:pPr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691D14" w:rsidRPr="00691D14" w:rsidRDefault="00691D14" w:rsidP="004147C4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691D14">
        <w:rPr>
          <w:rFonts w:ascii="Times New Roman" w:hAnsi="Times New Roman" w:cs="Times New Roman"/>
          <w:b/>
          <w:i w:val="0"/>
          <w:sz w:val="28"/>
          <w:szCs w:val="28"/>
        </w:rPr>
        <w:t>Исполнение расходной части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бюджета муниципального района</w:t>
      </w:r>
    </w:p>
    <w:p w:rsidR="004147C4" w:rsidRPr="004147C4" w:rsidRDefault="004147C4" w:rsidP="004147C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Расходы бюджета Северного района исполнены в сумме 614 378,0 тыс. рублей или на 97,8% от планового объёма расходов бюджета 628 512,8 тыс. рублей. По сравнению с показателями исполнения 2023 года (473 090,8 тыс. рублей), уровень расходов  бюджета увеличился на 141 287,2 тыс. рублей или на 29,9%. </w:t>
      </w:r>
    </w:p>
    <w:p w:rsidR="004147C4" w:rsidRPr="004147C4" w:rsidRDefault="004147C4" w:rsidP="004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4147C4">
        <w:rPr>
          <w:rFonts w:ascii="Times New Roman" w:hAnsi="Times New Roman" w:cs="Times New Roman"/>
          <w:i w:val="0"/>
          <w:iCs w:val="0"/>
          <w:sz w:val="28"/>
          <w:szCs w:val="28"/>
        </w:rPr>
        <w:t>риоритетными направлениями расходных обязательств местного бюджета являются:</w:t>
      </w:r>
    </w:p>
    <w:p w:rsidR="004147C4" w:rsidRPr="004147C4" w:rsidRDefault="004147C4" w:rsidP="004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147C4">
        <w:rPr>
          <w:rFonts w:ascii="Times New Roman" w:hAnsi="Times New Roman" w:cs="Times New Roman"/>
          <w:i w:val="0"/>
          <w:iCs w:val="0"/>
          <w:sz w:val="28"/>
          <w:szCs w:val="28"/>
        </w:rPr>
        <w:t>образование (61,3% в структуре расходов районного бюджета),  культура и кинематография (10,6%), общегосударственные вопросы (10,4%),  межбюджетные трансферты  (11,0%).</w:t>
      </w:r>
    </w:p>
    <w:p w:rsidR="004147C4" w:rsidRPr="004147C4" w:rsidRDefault="004147C4" w:rsidP="004147C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</w:p>
    <w:p w:rsidR="004147C4" w:rsidRPr="004147C4" w:rsidRDefault="004147C4" w:rsidP="004147C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proofErr w:type="gramStart"/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Увеличение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финансирования по сравнению с аналогичным периодом прошлого года отмечается по разделам расходов бюджета: общегосударственные  вопросы (на 6 129,3 тыс. рублей или на 10,6%), национальная безопасность</w:t>
      </w:r>
      <w:r w:rsidRPr="004147C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(на 1 873,9</w:t>
      </w: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тыс. рублей или на 40,1%); национальная экономика</w:t>
      </w:r>
      <w:r w:rsidRPr="004147C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(на 842,7 тыс. рублей или  на 8,0%); ЖКХ  (на  132,6 тыс. рублей или на 6,3%);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образование  (на 130 448,1 тыс. рублей или на 53,0%); культура, кинематография (на  9 005,6 тыс. рублей или на 16,1%), социальная политика (на 7 495,4 тыс. рублей или на 57,6%), физическая культура и спорт (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52,2 тыс. рублей или на 27,8%).  </w:t>
      </w:r>
      <w:r w:rsidRPr="004147C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</w:p>
    <w:p w:rsidR="004147C4" w:rsidRDefault="004147C4" w:rsidP="004147C4">
      <w:pPr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Уменьшение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расходов отмечается по разделу</w:t>
      </w:r>
      <w:r w:rsidRPr="004147C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межбюджетные трансферты (на 14 692,6 тыс. рублей или на 17,7%)  </w:t>
      </w:r>
    </w:p>
    <w:p w:rsidR="000C419E" w:rsidRPr="000C419E" w:rsidRDefault="000C419E" w:rsidP="000C419E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419E">
        <w:rPr>
          <w:rFonts w:ascii="Times New Roman" w:hAnsi="Times New Roman" w:cs="Times New Roman"/>
          <w:b/>
          <w:i w:val="0"/>
          <w:sz w:val="28"/>
          <w:szCs w:val="28"/>
        </w:rPr>
        <w:t>Профицит бюджета муниципального образования по итогам 2024 года  составил 1 255 203,13 рублей.</w:t>
      </w:r>
    </w:p>
    <w:p w:rsidR="000C419E" w:rsidRPr="000C419E" w:rsidRDefault="000C419E" w:rsidP="000C419E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691D14" w:rsidRDefault="000C419E" w:rsidP="000C419E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419E">
        <w:rPr>
          <w:rFonts w:ascii="Times New Roman" w:hAnsi="Times New Roman" w:cs="Times New Roman"/>
          <w:b/>
          <w:i w:val="0"/>
          <w:sz w:val="28"/>
          <w:szCs w:val="28"/>
        </w:rPr>
        <w:t xml:space="preserve">На лицевом счете районного бюджета № 02533003850 остаток денежных средств на 01.01.2025 года 31 674,0 тыс. руб. Остаток </w:t>
      </w:r>
      <w:proofErr w:type="gramStart"/>
      <w:r w:rsidRPr="000C419E">
        <w:rPr>
          <w:rFonts w:ascii="Times New Roman" w:hAnsi="Times New Roman" w:cs="Times New Roman"/>
          <w:b/>
          <w:i w:val="0"/>
          <w:sz w:val="28"/>
          <w:szCs w:val="28"/>
        </w:rPr>
        <w:t>межбюджетных трансфертов, полученных из областного бюджета на 01.01.2025 года отсутствует</w:t>
      </w:r>
      <w:proofErr w:type="gramEnd"/>
      <w:r w:rsidRPr="000C419E">
        <w:rPr>
          <w:rFonts w:ascii="Times New Roman" w:hAnsi="Times New Roman" w:cs="Times New Roman"/>
          <w:b/>
          <w:i w:val="0"/>
          <w:sz w:val="28"/>
          <w:szCs w:val="28"/>
        </w:rPr>
        <w:t xml:space="preserve">. Остаток </w:t>
      </w:r>
      <w:proofErr w:type="gramStart"/>
      <w:r w:rsidRPr="000C419E">
        <w:rPr>
          <w:rFonts w:ascii="Times New Roman" w:hAnsi="Times New Roman" w:cs="Times New Roman"/>
          <w:b/>
          <w:i w:val="0"/>
          <w:sz w:val="28"/>
          <w:szCs w:val="28"/>
        </w:rPr>
        <w:t>межбюджетных трансфертов, полученных из федерального бюджета на 01.01.2025 года составляет</w:t>
      </w:r>
      <w:proofErr w:type="gramEnd"/>
      <w:r w:rsidRPr="000C419E">
        <w:rPr>
          <w:rFonts w:ascii="Times New Roman" w:hAnsi="Times New Roman" w:cs="Times New Roman"/>
          <w:b/>
          <w:i w:val="0"/>
          <w:sz w:val="28"/>
          <w:szCs w:val="28"/>
        </w:rPr>
        <w:t xml:space="preserve"> 0,0 руб.</w:t>
      </w:r>
    </w:p>
    <w:p w:rsidR="000C419E" w:rsidRPr="00691D14" w:rsidRDefault="000C419E" w:rsidP="000C419E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A11150" w:rsidRDefault="004147C4" w:rsidP="00A11150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Безвозмездные не денежные поступления текущего характера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от сектора государственного управления и организаций государственного сектора от других бюджетов бюджетной системы РФ за 2024 год поступление составило          11 715 085,86 рублей, из них:</w:t>
      </w:r>
    </w:p>
    <w:p w:rsidR="00A11150" w:rsidRDefault="00A11150" w:rsidP="00A11150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147C4" w:rsidRPr="004147C4" w:rsidRDefault="004147C4" w:rsidP="00A11150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1. По отделу образования Северного района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получены безвозмездно прочие основные средства и материалы от Министерства образования Оренбургской области на сумму 157 454,00 рублей, в том числе: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Математика. Вероятность и статистика 7-9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кл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баз ур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.Ч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 Высоцкой И.Р,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Ященко.И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 учебник на сумму 78 727,00 рублей;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</w:t>
      </w:r>
      <w:r w:rsidRPr="004147C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Математика. Вероятность и статистика 7-9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кл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баз ур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.Ч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 Высоцкой И.Р,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Ященко.И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 учебник на сумму 78 727,00 рублей; </w:t>
      </w:r>
    </w:p>
    <w:p w:rsidR="00A11150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От Администрации Северного района учебники истории  на сумму 108 287,30 рублей.</w:t>
      </w:r>
    </w:p>
    <w:p w:rsidR="00A11150" w:rsidRDefault="00A11150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2.  По  администрации Северного района 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 от Министерства образования Оренбургской области учебная литература в кол-ве 158 шт. на сумму 108 287,30 рублей (в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амортизация 108 287,30 руб.) (Распоряжение Министерства природных ресурсов, экологии и имущественных отношений Оренбургской области от 18.01.2024г №70р);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от Управления федеральной службы государственной регистрации, кадастра и картографии по Оренбургской области земельный участок с кадастровой стоимостью 526 057,42 рублей, административное здание на сумму 191 433,18 рублей (в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амортизация – 110 020,23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руб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) (Распоряжение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Федерального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агенства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 управлению государственным имуществом от 05.11.2024г №56-316-р.;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от Управления федеральной службы государственной регистрации, кадастра и картографии по Оренбургской области Котел, счетчик газа,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напорометр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сумму 30 583,00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руб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(амортизация – 27 633,00) (Распоряжение Федерального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агенства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 управлению государственным имуществом от 03.12.2024г №56-338-р.;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от финансового отдела администрации Северного района ноутбук и ПК DEXP (компьютер) на сумму 101 998,00 рублей;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от МО Северный сельсовет 8 блоков жилого дома блокированной застройки на сумму 9 004 720,00 рублей (в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амортизация – 2 743 951,04).</w:t>
      </w:r>
    </w:p>
    <w:p w:rsidR="00A11150" w:rsidRDefault="00A11150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3. По отделу культуры администрации Северного района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от администрации Северного района 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здание, основную школу, гараж на сумму 7 002 900,36 (в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амортизация – 4 248 051,87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руб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 и земельный участок в постоянное (бессрочное) пользование с кадастровой стоимостью 1 640 794,44 рублей  (Постановление  администрации Северного района от 23.09.2024 №442-п);</w:t>
      </w:r>
      <w:proofErr w:type="gramEnd"/>
    </w:p>
    <w:p w:rsidR="006A2714" w:rsidRDefault="004147C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православную энциклопедию в кол-ве 125 шт. на сумму 139 001,60 рублей  (Постановление  администрации Северного района от 16.12.2024 №632-п).</w:t>
      </w:r>
    </w:p>
    <w:p w:rsidR="006A2714" w:rsidRDefault="006A271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147C4" w:rsidRPr="004147C4" w:rsidRDefault="004147C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shd w:val="clear" w:color="auto" w:fill="FFFFFF" w:themeFill="background1"/>
          <w:lang w:eastAsia="ru-RU"/>
        </w:rPr>
        <w:t>Стоимость основных средств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  <w:t>на конец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  <w:t xml:space="preserve"> 2024 года (без имущества казны)–</w:t>
      </w:r>
      <w:r w:rsidRPr="004147C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  <w:t xml:space="preserve">53 120,74тыс. рублей, стоимость основных средств (в части имущества казны) – </w:t>
      </w:r>
    </w:p>
    <w:p w:rsidR="006A2714" w:rsidRDefault="004147C4" w:rsidP="006A27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  <w:t xml:space="preserve">62 968,0 тыс. рублей, увеличение составило (без имущества казны) – 203,9 тыс. рублей, увеличение в части имущества казны – 17 938,20 тыс. рублей. </w:t>
      </w:r>
    </w:p>
    <w:p w:rsidR="006A2714" w:rsidRDefault="006A2714" w:rsidP="006A27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147C4" w:rsidRPr="004147C4" w:rsidRDefault="004147C4" w:rsidP="006A27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Нежилые помещения (здания и сооружения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)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7"/>
          <w:szCs w:val="27"/>
          <w:shd w:val="clear" w:color="auto" w:fill="FFFFFF"/>
          <w:lang w:eastAsia="ru-RU"/>
        </w:rPr>
        <w:t xml:space="preserve">получено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МКУ «ЦХО» </w:t>
      </w:r>
      <w:r w:rsidRPr="004147C4">
        <w:rPr>
          <w:rFonts w:ascii="Times New Roman" w:eastAsia="Times New Roman" w:hAnsi="Times New Roman" w:cs="Times New Roman"/>
          <w:i w:val="0"/>
          <w:iCs w:val="0"/>
          <w:sz w:val="27"/>
          <w:szCs w:val="27"/>
          <w:shd w:val="clear" w:color="auto" w:fill="FFFFFF"/>
          <w:lang w:eastAsia="ru-RU"/>
        </w:rPr>
        <w:t>безвозмездно в связи с передачей на праве оперативного управления имущества, находящегося в собственности администрации Северного района Оренбургской области (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Постановление  администрации Северного района от 22.11.2024 №564-п)</w:t>
      </w:r>
      <w:r w:rsidRPr="004147C4">
        <w:rPr>
          <w:rFonts w:ascii="Times New Roman" w:eastAsia="Times New Roman" w:hAnsi="Times New Roman" w:cs="Times New Roman"/>
          <w:i w:val="0"/>
          <w:iCs w:val="0"/>
          <w:sz w:val="27"/>
          <w:szCs w:val="27"/>
          <w:shd w:val="clear" w:color="auto" w:fill="FFFFFF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/>
          <w:lang w:eastAsia="ru-RU"/>
        </w:rPr>
        <w:t>административное здание - 191433,18 рублей.</w:t>
      </w:r>
    </w:p>
    <w:p w:rsidR="006A2714" w:rsidRDefault="006A271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4147C4" w:rsidRPr="004147C4" w:rsidRDefault="006A271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="004147C4"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По машинам и оборудованию</w:t>
      </w:r>
      <w:r w:rsidR="004147C4"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наличие на начало года  3 674 611,72 рублей, на конец года – 3 883 699,72 рублей. Поступление за год составило 393 651,00 рублей, в </w:t>
      </w:r>
      <w:proofErr w:type="spellStart"/>
      <w:r w:rsidR="004147C4"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="004147C4"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безвозмездно – 132 572,00 рублей из них:</w:t>
      </w:r>
    </w:p>
    <w:p w:rsidR="004147C4" w:rsidRPr="004147C4" w:rsidRDefault="004147C4" w:rsidP="004147C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Приобретено  на нужды администрации – 123 360,00 (компьютеры, веб камера,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рутокен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коммутатор); </w:t>
      </w:r>
    </w:p>
    <w:p w:rsidR="004147C4" w:rsidRPr="004147C4" w:rsidRDefault="004147C4" w:rsidP="004147C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Для формирования резерва материальных ресурсов при ЧС приобретена сирена ручная – 14000,00 рублей;</w:t>
      </w:r>
    </w:p>
    <w:p w:rsidR="004147C4" w:rsidRPr="004147C4" w:rsidRDefault="004147C4" w:rsidP="004147C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Приобретены металлодетекторы ручные в количестве 16 </w:t>
      </w:r>
      <w:proofErr w:type="spellStart"/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шт</w:t>
      </w:r>
      <w:proofErr w:type="spellEnd"/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сумму 63 840,00 рублей (профилактика и предупреждение правонарушений);</w:t>
      </w:r>
    </w:p>
    <w:p w:rsidR="006A2714" w:rsidRDefault="004147C4" w:rsidP="006A271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Поступили безвозмездно от </w:t>
      </w:r>
      <w:proofErr w:type="spellStart"/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от</w:t>
      </w:r>
      <w:proofErr w:type="spellEnd"/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финансового отдела администрации Северного района ноутбук и ПК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DEXP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(компью</w:t>
      </w:r>
      <w:r w:rsidR="006A271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тер) на сумму 101 998,00 рублей.</w:t>
      </w:r>
    </w:p>
    <w:p w:rsidR="006A2714" w:rsidRDefault="006A2714" w:rsidP="006A2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147C4" w:rsidRPr="004147C4" w:rsidRDefault="004147C4" w:rsidP="006A2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Выбытие по машинам и оборудованию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– 184 563,00 рублей, в т. ч:</w:t>
      </w:r>
    </w:p>
    <w:p w:rsidR="004147C4" w:rsidRPr="004147C4" w:rsidRDefault="004147C4" w:rsidP="004147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выбытие на забаланс оргтехники стоимостью до 10 000,00 рублей</w:t>
      </w:r>
    </w:p>
    <w:p w:rsidR="004147C4" w:rsidRPr="004147C4" w:rsidRDefault="004147C4" w:rsidP="004147C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– 26 760,0 рублей;</w:t>
      </w:r>
    </w:p>
    <w:p w:rsidR="004147C4" w:rsidRPr="004147C4" w:rsidRDefault="004147C4" w:rsidP="004147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Переданы безвозмездно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металлодектор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ручной в количестве 15 шт. на сумму 59 850 рублей в МБУК «ЦКС»  (Постановление Администрации Северного района от 06.03.2024г №109-п);</w:t>
      </w:r>
    </w:p>
    <w:p w:rsidR="004147C4" w:rsidRPr="004147C4" w:rsidRDefault="004147C4" w:rsidP="004147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Передан безвозмездно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металлодектор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ручной в количестве 1 шт. на сумму 3 990,00 рублей в МБОУ «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Бакаевская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СОШ»  (Постановление Администрации Северного района от 12.03.2024г №179-п);</w:t>
      </w:r>
    </w:p>
    <w:p w:rsidR="004147C4" w:rsidRPr="004147C4" w:rsidRDefault="004147C4" w:rsidP="004147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Переданы в МКУ «ЦХО» переданы котел, счетчик газа,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напорометр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сумму 30 583,00 рублей (Постановление Администрации Северного района от 17.12.2024г №636-п);</w:t>
      </w:r>
    </w:p>
    <w:p w:rsidR="004147C4" w:rsidRPr="004147C4" w:rsidRDefault="004147C4" w:rsidP="004147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МКУ «ЦХО»:</w:t>
      </w:r>
    </w:p>
    <w:p w:rsidR="004147C4" w:rsidRPr="004147C4" w:rsidRDefault="004147C4" w:rsidP="006A271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безвозмездно передал в МКУ «ЦАХЭООО»            </w:t>
      </w:r>
      <w:r w:rsidR="006A271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Котел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Лемакс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КСГ-40 (премиум) -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50 700,00 рублей;</w:t>
      </w:r>
    </w:p>
    <w:p w:rsidR="004147C4" w:rsidRPr="004147C4" w:rsidRDefault="004147C4" w:rsidP="006A271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- выбытие </w:t>
      </w:r>
      <w:r w:rsidRPr="004147C4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на забалансовый счет стоимостью до 10 000,00 рублей – 10 190,00руб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4147C4" w:rsidRPr="004147C4" w:rsidRDefault="004147C4" w:rsidP="006A271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6) МКУ «ЕДДС» - выбытие </w:t>
      </w:r>
      <w:r w:rsidRPr="004147C4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на забалансовый счет стоимостью до 10 000,00 рублей – 2 490,00руб.</w:t>
      </w:r>
    </w:p>
    <w:p w:rsidR="006A2714" w:rsidRDefault="006A271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 xml:space="preserve"> По транспортным средствам: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Поступил безвозмездно  от ГАПОУ «ОАТК им.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В.Н.Бевзюка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  специальный автобус для перевозки детей в кол-ве 1 шт. на сумму 2 741 534,00 рублей (Распоряжение Министерства природных ресурсов, экологии и имущественных отношений Оренбургской области от 18.01.2024г №60р).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7"/>
          <w:szCs w:val="27"/>
          <w:shd w:val="clear" w:color="auto" w:fill="FFFFFF"/>
          <w:lang w:eastAsia="ru-RU"/>
        </w:rPr>
        <w:t xml:space="preserve">       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Передано и закреплено на праве оперативного управления: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в МБОУ «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Северная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СОШ» специальный автобус для перевозки детей  на сумму 2 741 534,00 рублей (Постановление  администрации Северного района от 06.02.2024 №51-п);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Списан автомобиль ГАЗ 3102 в сумме  327 249,00 рублей  (Постановление  администрации Северного района от 29.05.2024 №278-п)</w:t>
      </w:r>
    </w:p>
    <w:p w:rsidR="006A2714" w:rsidRDefault="006A2714" w:rsidP="006A2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147C4" w:rsidRPr="004147C4" w:rsidRDefault="004147C4" w:rsidP="006A2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Инвентарь производственный и хозяйственный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Поступило  в 2024 году – 265 577,00 рублей: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- резерв материальных ресурсов при ЧС – 80 355,00 рублей (кровати раскладные 10 шт. на сумму 51 000,00 рублей, термос бытовой – 29 355,00 рублей;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- стенды информационные (ГО и ЧС) на сумму 44 460,00 рублей в количестве 8 </w:t>
      </w:r>
      <w:proofErr w:type="spellStart"/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шт</w:t>
      </w:r>
      <w:proofErr w:type="spellEnd"/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4147C4" w:rsidRPr="004147C4" w:rsidRDefault="004147C4" w:rsidP="004147C4">
      <w:pPr>
        <w:spacing w:after="0" w:line="240" w:lineRule="auto"/>
        <w:ind w:left="284" w:hanging="284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4147C4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        </w:t>
      </w:r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- приобретено в МКУ «ЦХО» на сумму 131 562,00 рублей</w:t>
      </w:r>
      <w:r w:rsidRPr="004147C4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</w:t>
      </w:r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(стеллажи для архива – 6 </w:t>
      </w:r>
      <w:proofErr w:type="spellStart"/>
      <w:proofErr w:type="gramStart"/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шт</w:t>
      </w:r>
      <w:proofErr w:type="spellEnd"/>
      <w:proofErr w:type="gramEnd"/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на сумму 57090,00,    стул для посетителей – 10 шт. на сумму 18 400 рублей,  </w:t>
      </w:r>
      <w:proofErr w:type="spellStart"/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термопод</w:t>
      </w:r>
      <w:proofErr w:type="spellEnd"/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GNERGEY-617</w:t>
      </w:r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ab/>
        <w:t xml:space="preserve">- 4 977,00 рублей,  рулетка геодезическая – 1295,00 рублей,   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Кресло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BRABIX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Samba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CF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-103» в количестве 6 штук на сумму 49800,00</w:t>
      </w:r>
      <w:r w:rsidRPr="004147C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руб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);</w:t>
      </w:r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                                  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7"/>
          <w:szCs w:val="27"/>
          <w:shd w:val="clear" w:color="auto" w:fill="FFFFFF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7"/>
          <w:szCs w:val="27"/>
          <w:shd w:val="clear" w:color="auto" w:fill="FFFFFF"/>
          <w:lang w:eastAsia="ru-RU"/>
        </w:rPr>
        <w:t xml:space="preserve">       - МКУ «ЕДДС» приобрели 2 письменных стола на сумму 9 200,00 рублей.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         Выбыло на сумму 231 472,00 рублей, 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- выбытие на забаланс приобретенного инвентаря стоимостью до 10 000,00 рублей.</w:t>
      </w:r>
    </w:p>
    <w:p w:rsidR="006A271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</w:t>
      </w:r>
    </w:p>
    <w:p w:rsidR="004147C4" w:rsidRPr="004147C4" w:rsidRDefault="006A271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4147C4"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По </w:t>
      </w:r>
      <w:r w:rsidR="004147C4"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прочим основным средствам: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В 2024 году поступили и выбыли основные средства в сумме 109 912,30 рублей, 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.: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поступила от Министерства образования Оренбургской области учебная литература в кол-ве 158 шт. на сумму 108 287,30 рублей  (Распоряжение Министерства природных ресурсов, экологии и имущественных отношений Оренбургской области от 18.01.2024г №70р);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- МКУ «ЦХО» приобрели счетчики для воды – 2шт. на сумму 1625,00 рублей;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- передана в Отдел образования учебная литература в кол-ве 158 шт. на сумму 108 287,30 рублей (Постановление  администрации Северного района от 04.04.2024 №172-п);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- переведены на забаланс основные средства.</w:t>
      </w:r>
    </w:p>
    <w:p w:rsidR="006A2714" w:rsidRDefault="006A271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147C4" w:rsidRPr="004147C4" w:rsidRDefault="004147C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Непроизведенные активы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Стоимость активов на начало года составила – 59 925 185,23 рублей, на конец отчетного периода – 60 452 095,81 рублей. 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Переданы земельные участки в постоянное  (бессрочное) пользование в ЦХО – 526 910,58 рублей (526 057,42 рублей (Постановление Администрации Северного района о передаче имущества 564-п от 22.11.2024г.), сумма 853,16 (Постановление Администрации Северного района о предоставлении земельного участка 524-п от 28.09.2022г).</w:t>
      </w:r>
      <w:proofErr w:type="gramEnd"/>
    </w:p>
    <w:p w:rsidR="006A2714" w:rsidRDefault="006A271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147C4" w:rsidRPr="004147C4" w:rsidRDefault="004147C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Материальные запасы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начало 2024 года наличие составило 150 073,74 рублей, конец года – 270 556,49 рублей.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Поступило в течение года материальных запасов на сумму 2 224 470,81 рублей: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приобретение канцтоваров, наградной продукции, подарки к Новому году по молодежным и спортивным мероприятиям, картриджей, спортивной формы – 441 538,14 рублей;</w:t>
      </w:r>
    </w:p>
    <w:p w:rsidR="004147C4" w:rsidRPr="004147C4" w:rsidRDefault="004147C4" w:rsidP="004147C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-  формирование резерва материальных ресурсов при ЧС 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( 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приобретение подушек, одеял, комплектов постельного белья, костюмов защитных,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самоспасателей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топоров, мыла хозяйственного, спичек) – 86 124,00 рублей;</w:t>
      </w:r>
    </w:p>
    <w:p w:rsidR="004147C4" w:rsidRPr="004147C4" w:rsidRDefault="004147C4" w:rsidP="004147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- в МКУ «ЦХО» В течение 2024г. приобретено материальных запасов на сумму 1 674 888,67 руб. 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ГСМ на сумму 1 255 057,27, канцтоваров, запчастей,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хозтоваров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электроматериалов на сумму 419 831,40 руб.;</w:t>
      </w:r>
    </w:p>
    <w:p w:rsidR="004147C4" w:rsidRPr="004147C4" w:rsidRDefault="004147C4" w:rsidP="004147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МКУ «ЕДДС» приобрели канцтовары,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хозтовары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сумму 1 1920,00 руб., мягкий инвентарь (футболки) -10 000,00 рублей.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Выбыло материальных запасов на сумму 2 103 988,06 рублей: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списано на нужды учреждений.</w:t>
      </w:r>
    </w:p>
    <w:p w:rsidR="006A2714" w:rsidRDefault="004147C4" w:rsidP="006A2714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4147C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</w:p>
    <w:p w:rsidR="004147C4" w:rsidRPr="004147C4" w:rsidRDefault="004147C4" w:rsidP="006A2714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lastRenderedPageBreak/>
        <w:t>Поступление имущества казны</w:t>
      </w: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приобретены жилые помещения с земельными участками на сумму 11 012 425,00 руб., 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1. блок жилого дома блокированного типа для обеспечения жильем отдельным категорий  граждан в соответствии с законодательством Оренбургской области (муниципальный контракт №0153300021924000006 от 11.03.2024г) на сумму 2 202 485,00 рублей;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2. блок жилого дома блокированного типа в количестве 4-х шт. для обеспечения жильем детей-сирот и детей, оставшихся без попечения родителей, лиц из числа детей-сирот, оставшихся без попечения родителей на сумму 8 809 940,00 рублей  (муниципальные контракты 10.12.2024г №0153300021924000018, №0153300021924000019, №0153300021924000020, №0153300021924000021); 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включено имущество (квартира) в состав муниципальной казны в сумме – 1,00  рублей (Постановление от 20.02.2024 №85-п);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включено имущество (водопровод) в состав муниципальной казны в сумме – 1,00  рублей (Постановление от 22.03.2024 №134-п);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включены в муниципальную казну (Постановление от 19.03.2024 №134-п): основная школа, здание, гараж на сумму 7 002 900,36 (в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.а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мортизация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– 4 248 051,87)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принято в собственность от Управления федеральной службы государственной регистрации, кадастра и картографии по Оренбургской области административное здание на сумму 191 433,18 рублей (в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т.ч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амортизация – 110 020,23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руб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) (Распоряжение Федерального </w:t>
      </w:r>
      <w:proofErr w:type="spell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агенства</w:t>
      </w:r>
      <w:proofErr w:type="spell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 управлению государственным имуществом от 05.11.2024г №56-316-р);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от МО Северный сельсовет 8 блоков жилого дома блокированной застройки на сумму 9 004 720,00 рублей (Решение Совета депутатов от 20.12.2024г №171-РС).</w:t>
      </w:r>
    </w:p>
    <w:p w:rsidR="006A2714" w:rsidRDefault="006A271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147C4" w:rsidRPr="004147C4" w:rsidRDefault="004147C4" w:rsidP="006A2714">
      <w:pPr>
        <w:tabs>
          <w:tab w:val="left" w:pos="9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4147C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Выбытие имущества казны: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 Передано в МКУ «ЦХО» в оперативное управление административное здание в сумме 191 433,18 рублей (Постановление Администрации Северного района от 22.11.2024г №564-п);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- Передана в собственность МО Аксенкинский сельсовет по Решению Совета депутатов от 17.04.2024г №157-РС трехкомнатная квартира одноэтажного жилого дома (балансовая стоимость 1,00 рублей);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- Передан в собственность МО Северный сельсовет водопровод по  Решению Совета депутатов от 17.04.2024г №158-РС на сумму 1,00 рубль.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на основании Постановления Администрации Северного района от 02.12.2024 г №589-п переданы в оперативное управление основная школа, здание, гараж в Отдел культуры Северного района - 7 002 900,28 рублей.</w:t>
      </w:r>
    </w:p>
    <w:p w:rsidR="004147C4" w:rsidRPr="004147C4" w:rsidRDefault="004147C4" w:rsidP="004147C4">
      <w:pPr>
        <w:tabs>
          <w:tab w:val="left" w:pos="9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передача в собственность  жилье отдельным категориям граждан на сумму 2 078 900,00 рублей (Постановление Администрации Северного района от 25.04.2024 г №220-п);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Непроизведенные активы в составе имущества казны   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Балансовая стоимость непроизведенных активов в составе имущества казны на начало 2023 года составила 62 213 870,60 рублей.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Включены земельные участки в муниципальную казну на сумму 7 058 699,91 рублей (Постановления Администрации Северного района от 17.08.2023г №415/1-п, от 14.12.2023 №617-п). Приобретено 3 земельных участка на сумму 300,00 рублей по муниципальным контрактам №0153300021923000009 от 08.12.2023г для детей-сирот и №0153300021923000008 от 08.12.2023г для отдельных категорий граждан. Уменьшение активов связано 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продажей земельного участка  на сумму 1 679 621,00  договор купли-продажи от 27.12.2022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г. №б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/н, Постановление Администрации Северного района от 25.11.2022 г №639-п);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передачей в собственность земельного участка на сумму 141 946,60 рублей в МО Курско-Васильевский сельсовет (Решение Совета депутатов от 30.03.2023г №121-С);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передан в собственность земельный участок (котельная ФОК) на сумму 254 087,70 рублей в МО Северный сельсовет (Решение Совета депутатов от 16.08.2023г №132-РС);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на основании Постановления Администрации Северного района от 17.08.2023 г №415/1-п передан в постоянное (бессрочное) пользование земельный участок (здание Физкультурно-оздоровительного комплекса) в МАУДО «</w:t>
      </w:r>
      <w:proofErr w:type="gramStart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Северная</w:t>
      </w:r>
      <w:proofErr w:type="gramEnd"/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ДЮСШ» - 4 860 150,60 рублей;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перевод земельных участков на сумму 58 023 498,61 рублей из казны в произведенные активы, т.к. они не являются разграниченными.</w:t>
      </w:r>
    </w:p>
    <w:p w:rsidR="004147C4" w:rsidRPr="004147C4" w:rsidRDefault="004147C4" w:rsidP="004147C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highlight w:val="yellow"/>
          <w:lang w:eastAsia="ru-RU"/>
        </w:rPr>
      </w:pPr>
      <w:r w:rsidRPr="004147C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конец года балансовая стоимость активов составила 4 313 566,00 рублей.</w:t>
      </w:r>
    </w:p>
    <w:p w:rsidR="006A2714" w:rsidRDefault="006A2714" w:rsidP="006A2714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</w:p>
    <w:p w:rsidR="000C419E" w:rsidRPr="000C419E" w:rsidRDefault="000C419E" w:rsidP="006A2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highlight w:val="yellow"/>
          <w:u w:val="single"/>
          <w:lang w:eastAsia="ru-RU"/>
        </w:rPr>
      </w:pPr>
      <w:r w:rsidRPr="000C419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Дебиторская задолженность на 01.01.2025 г.</w:t>
      </w: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сложилась в сумме 83 328,12 </w:t>
      </w:r>
      <w:proofErr w:type="spellStart"/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руб</w:t>
      </w:r>
      <w:proofErr w:type="spellEnd"/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(просроченная задолженность на конец отчетного периода отсутствует).</w:t>
      </w:r>
    </w:p>
    <w:p w:rsidR="006A2714" w:rsidRDefault="006A2714" w:rsidP="006A271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C419E" w:rsidRPr="000C419E" w:rsidRDefault="000C419E" w:rsidP="006A271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highlight w:val="yellow"/>
          <w:lang w:eastAsia="ru-RU"/>
        </w:rPr>
      </w:pPr>
      <w:r w:rsidRPr="000C419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Кредиторская задолженность по состоянию на 01.01.2025 года</w:t>
      </w: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составила </w:t>
      </w:r>
      <w:r w:rsidRPr="000C419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314</w:t>
      </w:r>
      <w:r w:rsidR="006A271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 </w:t>
      </w:r>
      <w:r w:rsidRPr="000C419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96</w:t>
      </w:r>
      <w:r w:rsidR="006A2714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4,01</w:t>
      </w: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рублей (просроченная задолженность на конец отчетного периода отсутствует) в том числе:</w:t>
      </w:r>
    </w:p>
    <w:p w:rsidR="000C419E" w:rsidRPr="000C419E" w:rsidRDefault="000C419E" w:rsidP="000C4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администрация Северного района в сумме 63,0</w:t>
      </w:r>
      <w:r w:rsidRPr="000C419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тыс. рублей (расчеты по принятым обязательствам);</w:t>
      </w:r>
    </w:p>
    <w:p w:rsidR="000C419E" w:rsidRPr="000C419E" w:rsidRDefault="000C419E" w:rsidP="000C4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отдел образования администрации Северного района в сумме 13,41рублей (расчеты по принятым обязательствам);</w:t>
      </w:r>
    </w:p>
    <w:p w:rsidR="000C419E" w:rsidRPr="000C419E" w:rsidRDefault="000C419E" w:rsidP="000C4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41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финансовый отдел администрации Северного района в сумме 5,0 тыс. рублей.</w:t>
      </w:r>
    </w:p>
    <w:p w:rsidR="000D07AC" w:rsidRDefault="000D07AC" w:rsidP="003E41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E41FE" w:rsidRPr="000D07AC" w:rsidRDefault="000D07AC" w:rsidP="003E41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РЕШИЛИ</w:t>
      </w:r>
      <w:r w:rsidR="000A04E1" w:rsidRPr="000D07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:</w:t>
      </w:r>
    </w:p>
    <w:p w:rsidR="003E41FE" w:rsidRDefault="000D07AC" w:rsidP="000D07A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317" w:lineRule="exact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Признать публичные слушания по</w:t>
      </w:r>
      <w:r w:rsidR="003E41FE" w:rsidRPr="000D07AC">
        <w:rPr>
          <w:rFonts w:ascii="Times New Roman" w:hAnsi="Times New Roman" w:cs="Times New Roman"/>
          <w:i w:val="0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i w:val="0"/>
          <w:sz w:val="28"/>
          <w:szCs w:val="28"/>
        </w:rPr>
        <w:t>у</w:t>
      </w:r>
      <w:r w:rsidR="003E41FE" w:rsidRPr="000D07AC">
        <w:rPr>
          <w:rFonts w:ascii="Times New Roman" w:hAnsi="Times New Roman" w:cs="Times New Roman"/>
          <w:i w:val="0"/>
          <w:sz w:val="28"/>
          <w:szCs w:val="28"/>
        </w:rPr>
        <w:t xml:space="preserve"> «Об утверждении отчета об исполнении бюджета муниципального образования Северный район за 202</w:t>
      </w:r>
      <w:r w:rsidRPr="000D07AC">
        <w:rPr>
          <w:rFonts w:ascii="Times New Roman" w:hAnsi="Times New Roman" w:cs="Times New Roman"/>
          <w:i w:val="0"/>
          <w:sz w:val="28"/>
          <w:szCs w:val="28"/>
        </w:rPr>
        <w:t>4</w:t>
      </w:r>
      <w:r w:rsidR="003E41FE" w:rsidRPr="000D07AC">
        <w:rPr>
          <w:rFonts w:ascii="Times New Roman" w:hAnsi="Times New Roman" w:cs="Times New Roman"/>
          <w:i w:val="0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состоявшимися</w:t>
      </w:r>
      <w:r w:rsidR="003E41FE" w:rsidRPr="000D07AC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0D07AC" w:rsidRDefault="000D07AC" w:rsidP="000D07A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317" w:lineRule="exact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Настоящий протокол публичных слушаний разместить в сети Интернет на официальном сайте муниципального образования Северный район.</w:t>
      </w:r>
    </w:p>
    <w:p w:rsidR="000D07AC" w:rsidRPr="000D07AC" w:rsidRDefault="000D07AC" w:rsidP="000D07A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317" w:lineRule="exact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П</w:t>
      </w:r>
      <w:r w:rsidRPr="000D07AC">
        <w:rPr>
          <w:rFonts w:ascii="Times New Roman" w:hAnsi="Times New Roman" w:cs="Times New Roman"/>
          <w:i w:val="0"/>
          <w:sz w:val="28"/>
          <w:szCs w:val="28"/>
        </w:rPr>
        <w:t>роект «Об утверждении отчета об исполнении бюджета муниципального образования Северный район за 2024 год»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вынести на заседание Совета депутатов муниципального образования Северный район для принятия.</w:t>
      </w:r>
    </w:p>
    <w:p w:rsidR="003E41FE" w:rsidRDefault="003E41FE" w:rsidP="003E41FE">
      <w:pPr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</w:pPr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Председательству</w:t>
      </w:r>
      <w:r w:rsid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ющий         </w:t>
      </w:r>
      <w:r w:rsid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___________                </w:t>
      </w:r>
      <w:r w:rsidR="00691D14" w:rsidRP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М.В.</w:t>
      </w:r>
      <w:r w:rsid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 </w:t>
      </w:r>
      <w:r w:rsidR="00691D14" w:rsidRP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Журкин</w:t>
      </w: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</w:pPr>
      <w:r w:rsidRPr="000A04E1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 xml:space="preserve">                                                                                                     (подпись)                                        (инициалы, фамилия)</w:t>
      </w:r>
    </w:p>
    <w:p w:rsidR="00A11150" w:rsidRDefault="00A11150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11150" w:rsidRDefault="00A11150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Секрет</w:t>
      </w:r>
      <w:r w:rsid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арь</w:t>
      </w:r>
      <w:r w:rsidR="00A1115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заседания</w:t>
      </w:r>
      <w:r w:rsidR="00A1115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___________                </w:t>
      </w:r>
      <w:r w:rsidR="003E41FE" w:rsidRPr="003E41FE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М.В. Шимкова</w:t>
      </w:r>
    </w:p>
    <w:p w:rsidR="000A04E1" w:rsidRPr="000A04E1" w:rsidRDefault="000A04E1" w:rsidP="000A0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</w:pPr>
      <w:r w:rsidRPr="000A04E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</w:t>
      </w:r>
      <w:r w:rsidRPr="000A04E1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(подпись)                                        (инициалы, фамилия)</w:t>
      </w:r>
    </w:p>
    <w:p w:rsidR="00C46C88" w:rsidRDefault="00C46C88"/>
    <w:sectPr w:rsidR="00C46C88" w:rsidSect="00C46C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0A3"/>
    <w:multiLevelType w:val="hybridMultilevel"/>
    <w:tmpl w:val="6DC82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7024D"/>
    <w:multiLevelType w:val="multilevel"/>
    <w:tmpl w:val="3BF4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8728F"/>
    <w:multiLevelType w:val="hybridMultilevel"/>
    <w:tmpl w:val="B59A62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16B31"/>
    <w:multiLevelType w:val="hybridMultilevel"/>
    <w:tmpl w:val="3BF48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A28BC"/>
    <w:multiLevelType w:val="hybridMultilevel"/>
    <w:tmpl w:val="13A8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B3FBC"/>
    <w:multiLevelType w:val="hybridMultilevel"/>
    <w:tmpl w:val="536A87A2"/>
    <w:lvl w:ilvl="0" w:tplc="D6867B6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ED6FCF"/>
    <w:multiLevelType w:val="hybridMultilevel"/>
    <w:tmpl w:val="13CE09BE"/>
    <w:lvl w:ilvl="0" w:tplc="310AD1B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7">
    <w:nsid w:val="2F807834"/>
    <w:multiLevelType w:val="hybridMultilevel"/>
    <w:tmpl w:val="50DC7B7E"/>
    <w:lvl w:ilvl="0" w:tplc="B016CF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9D226C"/>
    <w:multiLevelType w:val="hybridMultilevel"/>
    <w:tmpl w:val="0C72CA68"/>
    <w:lvl w:ilvl="0" w:tplc="911C45B8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44590"/>
    <w:multiLevelType w:val="hybridMultilevel"/>
    <w:tmpl w:val="28E2C86C"/>
    <w:lvl w:ilvl="0" w:tplc="C0E4A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3D3A2D"/>
    <w:multiLevelType w:val="hybridMultilevel"/>
    <w:tmpl w:val="1C22A2B6"/>
    <w:lvl w:ilvl="0" w:tplc="C4D0E7D4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A802A5"/>
    <w:multiLevelType w:val="hybridMultilevel"/>
    <w:tmpl w:val="F00EE5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735D51"/>
    <w:multiLevelType w:val="hybridMultilevel"/>
    <w:tmpl w:val="39782506"/>
    <w:lvl w:ilvl="0" w:tplc="3656E43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5B297AE4"/>
    <w:multiLevelType w:val="hybridMultilevel"/>
    <w:tmpl w:val="12FE0910"/>
    <w:lvl w:ilvl="0" w:tplc="04190017">
      <w:start w:val="1"/>
      <w:numFmt w:val="lowerLetter"/>
      <w:lvlText w:val="%1)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>
    <w:nsid w:val="5E8D1508"/>
    <w:multiLevelType w:val="hybridMultilevel"/>
    <w:tmpl w:val="FA3C9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E24C7"/>
    <w:multiLevelType w:val="hybridMultilevel"/>
    <w:tmpl w:val="F6AA7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DF5A27"/>
    <w:multiLevelType w:val="hybridMultilevel"/>
    <w:tmpl w:val="3580BA68"/>
    <w:lvl w:ilvl="0" w:tplc="D6FE52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16"/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AD"/>
    <w:rsid w:val="000A04E1"/>
    <w:rsid w:val="000A4F64"/>
    <w:rsid w:val="000C419E"/>
    <w:rsid w:val="000D07AC"/>
    <w:rsid w:val="001571E9"/>
    <w:rsid w:val="00196F8F"/>
    <w:rsid w:val="003D0BE5"/>
    <w:rsid w:val="003E41FE"/>
    <w:rsid w:val="004147C4"/>
    <w:rsid w:val="0048231D"/>
    <w:rsid w:val="004901B2"/>
    <w:rsid w:val="004D5A99"/>
    <w:rsid w:val="005A3445"/>
    <w:rsid w:val="006177EB"/>
    <w:rsid w:val="00657256"/>
    <w:rsid w:val="00691D14"/>
    <w:rsid w:val="006A1766"/>
    <w:rsid w:val="006A2714"/>
    <w:rsid w:val="007876A8"/>
    <w:rsid w:val="00A11150"/>
    <w:rsid w:val="00A96309"/>
    <w:rsid w:val="00AB5596"/>
    <w:rsid w:val="00AD6116"/>
    <w:rsid w:val="00C46C88"/>
    <w:rsid w:val="00CB4FD4"/>
    <w:rsid w:val="00D164A2"/>
    <w:rsid w:val="00E36EAD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  <w:style w:type="paragraph" w:styleId="af5">
    <w:name w:val="Balloon Text"/>
    <w:basedOn w:val="a"/>
    <w:link w:val="af6"/>
    <w:semiHidden/>
    <w:unhideWhenUsed/>
    <w:rsid w:val="000A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4E1"/>
    <w:rPr>
      <w:rFonts w:ascii="Tahoma" w:hAnsi="Tahoma" w:cs="Tahoma"/>
      <w:i/>
      <w:iCs/>
      <w:sz w:val="16"/>
      <w:szCs w:val="16"/>
    </w:rPr>
  </w:style>
  <w:style w:type="table" w:styleId="af7">
    <w:name w:val="Table Grid"/>
    <w:basedOn w:val="a1"/>
    <w:rsid w:val="0069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link w:val="af9"/>
    <w:semiHidden/>
    <w:rsid w:val="00691D14"/>
    <w:pPr>
      <w:shd w:val="clear" w:color="auto" w:fill="000080"/>
      <w:spacing w:after="0" w:line="240" w:lineRule="auto"/>
    </w:pPr>
    <w:rPr>
      <w:rFonts w:ascii="Tahoma" w:eastAsia="Times New Roman" w:hAnsi="Tahoma" w:cs="Tahoma"/>
      <w:i w:val="0"/>
      <w:iCs w:val="0"/>
      <w:sz w:val="24"/>
      <w:szCs w:val="24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691D1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Hyperlink"/>
    <w:rsid w:val="00691D14"/>
    <w:rPr>
      <w:color w:val="0000FF"/>
      <w:u w:val="single"/>
    </w:rPr>
  </w:style>
  <w:style w:type="paragraph" w:styleId="31">
    <w:name w:val="Body Text 3"/>
    <w:basedOn w:val="a"/>
    <w:link w:val="32"/>
    <w:rsid w:val="00691D14"/>
    <w:pPr>
      <w:spacing w:after="120" w:line="240" w:lineRule="auto"/>
    </w:pPr>
    <w:rPr>
      <w:rFonts w:ascii="Times New Roman" w:eastAsia="Times New Roman" w:hAnsi="Times New Roman" w:cs="Times New Roman"/>
      <w:i w:val="0"/>
      <w:iCs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1D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header"/>
    <w:basedOn w:val="a"/>
    <w:link w:val="afc"/>
    <w:rsid w:val="00691D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lang w:eastAsia="ru-RU"/>
    </w:rPr>
  </w:style>
  <w:style w:type="character" w:customStyle="1" w:styleId="afc">
    <w:name w:val="Верхний колонтитул Знак"/>
    <w:basedOn w:val="a0"/>
    <w:link w:val="afb"/>
    <w:rsid w:val="00691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"/>
    <w:basedOn w:val="a"/>
    <w:link w:val="afe"/>
    <w:rsid w:val="00691D14"/>
    <w:pPr>
      <w:spacing w:after="12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rsid w:val="0069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rsid w:val="00691D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rsid w:val="0069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69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extended-textshort">
    <w:name w:val="extended-text__short"/>
    <w:rsid w:val="00691D14"/>
  </w:style>
  <w:style w:type="character" w:customStyle="1" w:styleId="aff1">
    <w:name w:val="Цветовое выделение"/>
    <w:rsid w:val="00691D14"/>
    <w:rPr>
      <w:b/>
      <w:color w:val="26282F"/>
      <w:sz w:val="26"/>
    </w:rPr>
  </w:style>
  <w:style w:type="character" w:customStyle="1" w:styleId="ac">
    <w:name w:val="Абзац списка Знак"/>
    <w:link w:val="ab"/>
    <w:uiPriority w:val="34"/>
    <w:rsid w:val="00691D14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  <w:style w:type="paragraph" w:styleId="af5">
    <w:name w:val="Balloon Text"/>
    <w:basedOn w:val="a"/>
    <w:link w:val="af6"/>
    <w:semiHidden/>
    <w:unhideWhenUsed/>
    <w:rsid w:val="000A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4E1"/>
    <w:rPr>
      <w:rFonts w:ascii="Tahoma" w:hAnsi="Tahoma" w:cs="Tahoma"/>
      <w:i/>
      <w:iCs/>
      <w:sz w:val="16"/>
      <w:szCs w:val="16"/>
    </w:rPr>
  </w:style>
  <w:style w:type="table" w:styleId="af7">
    <w:name w:val="Table Grid"/>
    <w:basedOn w:val="a1"/>
    <w:rsid w:val="0069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link w:val="af9"/>
    <w:semiHidden/>
    <w:rsid w:val="00691D14"/>
    <w:pPr>
      <w:shd w:val="clear" w:color="auto" w:fill="000080"/>
      <w:spacing w:after="0" w:line="240" w:lineRule="auto"/>
    </w:pPr>
    <w:rPr>
      <w:rFonts w:ascii="Tahoma" w:eastAsia="Times New Roman" w:hAnsi="Tahoma" w:cs="Tahoma"/>
      <w:i w:val="0"/>
      <w:iCs w:val="0"/>
      <w:sz w:val="24"/>
      <w:szCs w:val="24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691D1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Hyperlink"/>
    <w:rsid w:val="00691D14"/>
    <w:rPr>
      <w:color w:val="0000FF"/>
      <w:u w:val="single"/>
    </w:rPr>
  </w:style>
  <w:style w:type="paragraph" w:styleId="31">
    <w:name w:val="Body Text 3"/>
    <w:basedOn w:val="a"/>
    <w:link w:val="32"/>
    <w:rsid w:val="00691D14"/>
    <w:pPr>
      <w:spacing w:after="120" w:line="240" w:lineRule="auto"/>
    </w:pPr>
    <w:rPr>
      <w:rFonts w:ascii="Times New Roman" w:eastAsia="Times New Roman" w:hAnsi="Times New Roman" w:cs="Times New Roman"/>
      <w:i w:val="0"/>
      <w:iCs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1D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header"/>
    <w:basedOn w:val="a"/>
    <w:link w:val="afc"/>
    <w:rsid w:val="00691D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lang w:eastAsia="ru-RU"/>
    </w:rPr>
  </w:style>
  <w:style w:type="character" w:customStyle="1" w:styleId="afc">
    <w:name w:val="Верхний колонтитул Знак"/>
    <w:basedOn w:val="a0"/>
    <w:link w:val="afb"/>
    <w:rsid w:val="00691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"/>
    <w:basedOn w:val="a"/>
    <w:link w:val="afe"/>
    <w:rsid w:val="00691D14"/>
    <w:pPr>
      <w:spacing w:after="12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rsid w:val="0069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rsid w:val="00691D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rsid w:val="0069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69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extended-textshort">
    <w:name w:val="extended-text__short"/>
    <w:rsid w:val="00691D14"/>
  </w:style>
  <w:style w:type="character" w:customStyle="1" w:styleId="aff1">
    <w:name w:val="Цветовое выделение"/>
    <w:rsid w:val="00691D14"/>
    <w:rPr>
      <w:b/>
      <w:color w:val="26282F"/>
      <w:sz w:val="26"/>
    </w:rPr>
  </w:style>
  <w:style w:type="character" w:customStyle="1" w:styleId="ac">
    <w:name w:val="Абзац списка Знак"/>
    <w:link w:val="ab"/>
    <w:uiPriority w:val="34"/>
    <w:rsid w:val="00691D1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Петрова М.В</cp:lastModifiedBy>
  <cp:revision>2</cp:revision>
  <cp:lastPrinted>2025-05-15T11:40:00Z</cp:lastPrinted>
  <dcterms:created xsi:type="dcterms:W3CDTF">2025-05-15T11:56:00Z</dcterms:created>
  <dcterms:modified xsi:type="dcterms:W3CDTF">2025-05-15T11:56:00Z</dcterms:modified>
</cp:coreProperties>
</file>