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6C" w:rsidRPr="004375F4" w:rsidRDefault="0040546C" w:rsidP="0040546C">
      <w:pPr>
        <w:pStyle w:val="1"/>
        <w:spacing w:after="0"/>
        <w:ind w:firstLine="0"/>
        <w:jc w:val="both"/>
      </w:pPr>
      <w:r w:rsidRPr="00222753">
        <w:rPr>
          <w:b/>
          <w:szCs w:val="20"/>
          <w:lang w:eastAsia="ru-RU"/>
        </w:rPr>
        <w:t>Информация о результатах камеральной  плановой   проверки по соблюдению бюджетного законодательства Российской федерации, законодательства Российской федерации в сфере закупок в Муниципальном</w:t>
      </w:r>
      <w:r>
        <w:rPr>
          <w:b/>
          <w:szCs w:val="20"/>
          <w:lang w:eastAsia="ru-RU"/>
        </w:rPr>
        <w:t xml:space="preserve"> образовании Секретарский сельсовет в 2021</w:t>
      </w:r>
      <w:r w:rsidRPr="00222753">
        <w:rPr>
          <w:b/>
          <w:szCs w:val="20"/>
          <w:lang w:eastAsia="ru-RU"/>
        </w:rPr>
        <w:t xml:space="preserve"> году.</w:t>
      </w:r>
      <w:r w:rsidRPr="00222753">
        <w:rPr>
          <w:szCs w:val="20"/>
          <w:lang w:eastAsia="ru-RU"/>
        </w:rPr>
        <w:t xml:space="preserve">      </w:t>
      </w:r>
    </w:p>
    <w:p w:rsidR="00452075" w:rsidRDefault="00452075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E7909" w:rsidRPr="007425A6" w:rsidTr="00B85C95">
        <w:tc>
          <w:tcPr>
            <w:tcW w:w="4785" w:type="dxa"/>
          </w:tcPr>
          <w:p w:rsidR="007E7909" w:rsidRPr="007425A6" w:rsidRDefault="007E7909" w:rsidP="007E7909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7E7909" w:rsidRPr="007425A6" w:rsidRDefault="007E7909" w:rsidP="002C55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52075" w:rsidRPr="00B01E59" w:rsidRDefault="0040546C" w:rsidP="0045207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452075"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Камеральной плановой проверкой  по соблюдению бюджетного законодательства Российской федерации, и иных нормативно правовых актов, регулирующих бюджетные правоотношения при составлении и исполнении бюджета, законодательства Российской федерации в сфере закупок  в Муниципальном  образовании </w:t>
      </w:r>
      <w:r w:rsidR="00452075">
        <w:rPr>
          <w:rFonts w:ascii="Times New Roman" w:eastAsia="Times New Roman" w:hAnsi="Times New Roman" w:cs="Times New Roman"/>
          <w:sz w:val="28"/>
          <w:szCs w:val="20"/>
          <w:lang w:eastAsia="ru-RU"/>
        </w:rPr>
        <w:t>Секретарский  сельсовет за 2020 год и январь-август 2021года  установлен ряд нарушений:</w:t>
      </w:r>
      <w:r w:rsidR="00452075" w:rsidRPr="002227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67889" w:rsidRPr="00C82C79" w:rsidRDefault="00C82C79" w:rsidP="00C82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7889" w:rsidRPr="00C82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Проверкой порядка составления, утверждения и ведения бюджетной сметы установлено:</w:t>
      </w:r>
      <w:r w:rsidR="00967889" w:rsidRPr="00C8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91B" w:rsidRDefault="00C82C79" w:rsidP="00D4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 составления, утверждения и ведения бюджетной сметы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ён распоряжением администрации  Секретарского</w:t>
      </w:r>
      <w:r w:rsidRPr="00D244F3">
        <w:rPr>
          <w:rFonts w:ascii="Times New Roman" w:eastAsia="Times New Roman" w:hAnsi="Times New Roman" w:cs="Times New Roman"/>
          <w:color w:val="F79646" w:themeColor="accent6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от  20.07.2018 года  №13</w:t>
      </w:r>
      <w:r w:rsidRPr="00A2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недействующей редакцией  приказ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20.11.2007года №112н «Об общих требованиях к порядку составления, утверждения и ведения бюдж</w:t>
      </w:r>
      <w:r w:rsidR="00D4291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етных смет казённых учреждений»;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291B" w:rsidRDefault="00D4291B" w:rsidP="00D4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 п.8  раздела 2 «Общих требований к составлению смет» приказа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инфина РФ № 26н к смете расходов за 2020 год расчёты не составлены, к смете расходов за 2021 год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 расчёты, не по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кодам бюджетной классификации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67889" w:rsidRPr="00EE58DE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20A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сметы за 2020-2021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C20A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соответствуют только </w:t>
      </w:r>
      <w:r w:rsidR="00CF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</w:t>
      </w:r>
      <w:r w:rsidR="00EC20A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альному бюджету, изменения в них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вносились (</w:t>
      </w:r>
      <w:proofErr w:type="gramStart"/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</w:t>
      </w:r>
      <w:proofErr w:type="gramEnd"/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14-18 раздела 4 «Общих требований к ведению смет учреждений» приказа Минфина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>26н и п.12 распоряжен</w:t>
      </w:r>
      <w:r w:rsidR="00EC20AB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администрации Секретарского</w:t>
      </w:r>
      <w:r w:rsidRPr="00EE5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сельсовета).</w:t>
      </w:r>
    </w:p>
    <w:p w:rsidR="0096788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2) Проверка правильности организации и ведения бухгалтерского учёт достоверность отчётности и своевременности её предоставления.</w:t>
      </w:r>
    </w:p>
    <w:p w:rsidR="003C31BD" w:rsidRDefault="00967889" w:rsidP="003C3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</w:t>
      </w:r>
      <w:r w:rsidR="003C31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п.14 Инструкции № 157н порядок  передачи документов и дел бухгалтерского учёта при смене руководителя учреждения, главного бухгалтера либо иного должностного лица, на которое возложено ведение бухгалтерского учёта, устанавливается в учётной политике учреждения. В учётной полит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ике такой порядок не установлен;</w:t>
      </w:r>
    </w:p>
    <w:p w:rsidR="009319A3" w:rsidRPr="00452075" w:rsidRDefault="009319A3" w:rsidP="009319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рабочий план счетов в учётной политике (приложение №2) не содержит всех счетов утверждённого плана счетов приказом Минфина РФ от 6 декабря 2010 г № 162н.</w:t>
      </w:r>
      <w:r w:rsidRPr="00340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88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3)  Проверкой операций с денежными средствами установлено:</w:t>
      </w:r>
    </w:p>
    <w:p w:rsidR="0096788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в журналах операций расчётов с дебиторами </w:t>
      </w:r>
      <w:r w:rsidRPr="00CC47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доходам</w:t>
      </w:r>
      <w:r w:rsidRPr="001017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5520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2020 год и январь-август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2021 года не отражён о</w:t>
      </w:r>
      <w:r w:rsidRPr="0010172C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статок на конец меся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ца;  </w:t>
      </w:r>
    </w:p>
    <w:p w:rsidR="0096788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остаток по доходам </w:t>
      </w:r>
      <w:r w:rsidR="005520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2020</w:t>
      </w:r>
      <w:r w:rsidR="005520D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и январь – август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2021 года отражён за каждый  месяц  в нарушение порядка в журнале операций с безналичными денежными средствами № 2. </w:t>
      </w: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4)  Проверкой расчётов с поставщиками и подрядчиками:</w:t>
      </w:r>
    </w:p>
    <w:p w:rsidR="005F226E" w:rsidRPr="00993E41" w:rsidRDefault="00967889" w:rsidP="005F226E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proofErr w:type="spellStart"/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неотражением</w:t>
      </w:r>
      <w:proofErr w:type="spellEnd"/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бухгалтерском учёте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 кредиторской задолженности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счету 0302000</w:t>
      </w:r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</w:t>
      </w:r>
      <w:r w:rsidR="005F226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226E"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искажению показателей Баланса Учреждения по состоянию на 01.01.2020г. по строке 410 «Кредиторская задолженность по выплатам» на сумму 46444,74 руб., по данной причин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е также занижена валюта баланса;</w:t>
      </w:r>
    </w:p>
    <w:p w:rsidR="004D56E8" w:rsidRDefault="004D56E8" w:rsidP="004D56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связи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неотражением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бухгалтерском учёте дебиторской задолженности в сумме 2000рублей 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искажению показателей Баланса Учреж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по состоянию на 01.01.2021г. по строке 260 «Дебиторская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 выплатам» на сумму 2000</w:t>
      </w:r>
      <w:r w:rsidRPr="00993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по данной причине также занижена валюта баланса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889" w:rsidRPr="008F73AE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проверке первичных документов, приложенных к Журналу операций «Расчеты с поставщиками и подрядчиками», установлены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неоднократные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факты несвоевременного отражения первичных документов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регистрах бухгалтерского учета, (нарушен пункт 11 Инструкции 157н);</w:t>
      </w: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нарушение статьи 11 Федерального закона РФ от 06.12.2011 года   </w:t>
      </w:r>
      <w:r w:rsidR="00DC7DF0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402-ФЗ «О бухгалтерском учёте», п. 1.5 приказа Минфина от 13.06.1995 года № 49 «Об утверждении Методических указаний по инвентаризации имущества и финансовых обязательств», Приказа Минфина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30.03.2015 №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52н инвентаризация финансовых обязательств, с оформлением необходимых документов (актов инвентаризации, инвентаризационных описей) в проверяемом периоде  администрацией сельсовета не проводилась; </w:t>
      </w:r>
      <w:proofErr w:type="gramEnd"/>
    </w:p>
    <w:p w:rsidR="00967889" w:rsidRDefault="004D56E8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 взаимных расчётов на конец отчётного периода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поставщиками и подрядчиками 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6788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проверкой правильности отражения задолженности по расчётам с поставщиками и подрядчиками установлены факты</w:t>
      </w:r>
      <w:r w:rsidR="00E4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необоснованного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погашения задолженности по счетам на предоплат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4D5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proofErr w:type="gramEnd"/>
      <w:r w:rsidR="004D5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исследования условий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ф</w:t>
      </w:r>
      <w:r w:rsidR="00E410C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еврале 2021 года в сумме 2250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данный факт привёл к не отражению дебиторской задолженности; </w:t>
      </w:r>
    </w:p>
    <w:p w:rsidR="00967889" w:rsidRPr="009A0D0D" w:rsidRDefault="00967889" w:rsidP="00967889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D0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Федерального закона РФ от 06.12.2011 №402-ФЗ «О бухгалтерском учете» Учреждение необоснованно признало копии документов (счета, накладные, акта выполненных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договора</w:t>
      </w:r>
      <w:r w:rsidRPr="009A0D0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качестве документов, подтверждающие понесен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r w:rsidR="00E410CE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расходы в общей сумме 25650</w:t>
      </w:r>
      <w:r w:rsidRPr="009A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E410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0814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14D6" w:rsidRPr="00081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ходе </w:t>
      </w:r>
      <w:proofErr w:type="gramStart"/>
      <w:r w:rsidR="000814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proofErr w:type="gramEnd"/>
      <w:r w:rsidR="00081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перечисленные первичные документы предъявлены к проверке в подлинном варианте).</w:t>
      </w:r>
    </w:p>
    <w:p w:rsidR="00967889" w:rsidRPr="00452075" w:rsidRDefault="004203C4" w:rsidP="00452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Проверка учёта основных средств и материальных запасов: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03BB" w:rsidRDefault="00967889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нарушается порядок ведения инвентарных карточек по учёту основных средств</w:t>
      </w:r>
      <w:r w:rsidR="003822E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 краткой индивидуальной характеристики объектов основных средств,</w:t>
      </w:r>
      <w:r w:rsidR="0042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указан</w:t>
      </w:r>
      <w:r w:rsidR="0038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фактического местонахождения</w:t>
      </w:r>
      <w:r w:rsidR="000C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отдельным основным</w:t>
      </w:r>
      <w:r w:rsidR="0038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0C03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A841D0" w:rsidRDefault="000C03BB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 о полной индивидуальной материальной ответственности за сохранность основных средств и материальных ценностей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сельсовета не заключен;</w:t>
      </w:r>
    </w:p>
    <w:p w:rsidR="000C03BB" w:rsidRDefault="00A841D0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оприходован</w:t>
      </w:r>
      <w:r w:rsidR="004203C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баланс  в соответствующем порядке объекты основных средств: автомобиль ВАЗ 21074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LADA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-2107 стоимостью 162000 рублей</w:t>
      </w:r>
      <w:r w:rsidR="000C03BB" w:rsidRPr="00D0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3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передан от администрации Северного района </w:t>
      </w:r>
      <w:r w:rsidR="0093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решения Совета депутатов Северного сельсовета от 29.03.2021 года</w:t>
      </w:r>
      <w:r w:rsidR="004203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365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памятник погибшим войнам </w:t>
      </w:r>
      <w:r w:rsidR="004203C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 23,8м</w:t>
      </w:r>
      <w:proofErr w:type="gramStart"/>
      <w:r w:rsidR="004203C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420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5D7">
        <w:rPr>
          <w:rFonts w:ascii="Times New Roman" w:eastAsia="Times New Roman" w:hAnsi="Times New Roman" w:cs="Times New Roman"/>
          <w:sz w:val="28"/>
          <w:szCs w:val="28"/>
          <w:lang w:eastAsia="ru-RU"/>
        </w:rPr>
        <w:t>(свидетельство о государственной регистрации права от 26.02.2015 года №56-АВ 598446</w:t>
      </w:r>
      <w:r w:rsidR="004203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03BB" w:rsidRDefault="000C03BB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D05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Секретарский</w:t>
      </w:r>
      <w:r w:rsidRPr="00D05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не обеспечен учет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 дорожного транспорта</w:t>
      </w:r>
      <w:r w:rsidR="00A45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протяжённостью 2538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 земельн</w:t>
      </w:r>
      <w:r w:rsidR="00A454B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 общей площадью 44658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м2;</w:t>
      </w:r>
    </w:p>
    <w:p w:rsidR="00253DD9" w:rsidRDefault="00253DD9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обеспечен учёт земельных участков, земли населённых пунктов</w:t>
      </w:r>
      <w:r w:rsidR="00D1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1995 м</w:t>
      </w:r>
      <w:proofErr w:type="gramStart"/>
      <w:r w:rsidR="00D148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D148C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кадастровой стоимостью 857730,3 рубля;</w:t>
      </w:r>
    </w:p>
    <w:p w:rsidR="00D148C1" w:rsidRPr="00D0574E" w:rsidRDefault="00D148C1" w:rsidP="000C03BB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обеспечен соответствующий учёт земельных участков, земли сельскохозяйственного назначения, разрешённое использование площадью 9,4 га и 3316440 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54B1" w:rsidRDefault="00A454B1" w:rsidP="00A454B1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 оформлены в собственность</w:t>
      </w:r>
      <w:r w:rsid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</w:t>
      </w:r>
      <w:r w:rsid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объекта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</w:t>
      </w:r>
      <w:r w:rsidR="00431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средств стоимостью 8073150,94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</w:t>
      </w:r>
      <w:r w:rsidR="004318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253D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централизованная система холодного водоснабжения</w:t>
      </w:r>
      <w:r w:rsid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переданные </w:t>
      </w:r>
      <w:r w:rsid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D10DA2" w:rsidRP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МУП жилищно-коммунальное хозяйство «Северное»  на основании решения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Совета депутатов МО Северный район от 20.11.2020 года №24</w:t>
      </w:r>
      <w:r w:rsid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-РС и  переданы</w:t>
      </w:r>
      <w:r w:rsidR="0042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2020 году</w:t>
      </w:r>
      <w:r w:rsid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нарушением порядка передачи по</w:t>
      </w:r>
      <w:r w:rsid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03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договору аренды</w:t>
      </w:r>
      <w:r w:rsidR="00D10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МУП жилищно-коммунальное хозяйство «Северное»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967889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составе </w:t>
      </w:r>
      <w:r w:rsidR="000C0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с</w:t>
      </w:r>
      <w:r w:rsidR="004318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 необоснованно учитывается</w:t>
      </w:r>
      <w:r w:rsidR="000C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до 3000 рублей, подлежащее отражению согласно п. 373 Инструкции №157н на </w:t>
      </w:r>
      <w:proofErr w:type="spellStart"/>
      <w:r w:rsidR="000C0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 w:rsidR="000C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счёте 21 «Основные средства стоимостью до 3000 рублей включительно в эксплуатации»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1800,00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3B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до 01.01.2018)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85629" w:rsidRDefault="00452075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оприходованы на </w:t>
      </w:r>
      <w:proofErr w:type="spellStart"/>
      <w:r w:rsidR="002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забалансовый</w:t>
      </w:r>
      <w:proofErr w:type="spellEnd"/>
      <w:r w:rsidR="002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 объекты основных сре</w:t>
      </w:r>
      <w:proofErr w:type="gramStart"/>
      <w:r w:rsidR="002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ст</w:t>
      </w:r>
      <w:proofErr w:type="gramEnd"/>
      <w:r w:rsidR="00285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оимостью менее 10</w:t>
      </w:r>
      <w:r w:rsidR="0043182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5629">
        <w:rPr>
          <w:rFonts w:ascii="Times New Roman" w:eastAsia="Times New Roman" w:hAnsi="Times New Roman" w:cs="Times New Roman"/>
          <w:sz w:val="28"/>
          <w:szCs w:val="28"/>
          <w:lang w:eastAsia="ru-RU"/>
        </w:rPr>
        <w:t>00 рублей на общую сумму 14140 рублей: радиотелефон 1шт. стоимостью 2400 рублей, контейнеры для мусора 2шт стоимостью 11740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5629" w:rsidRDefault="00967889" w:rsidP="0028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проверке соблюдения порядка проведения инвентаризации нефинансовых активов, предусмотренного приказом Министерства финансов РФ от 13.06.1995 №49 «Об утверждении методических указаний по инвентаризации имущества и финансовых обязательств»  (далее Приказ №49) установлено, что инвентаризация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средств</w:t>
      </w:r>
      <w:r w:rsidR="00253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материалов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</w:t>
      </w:r>
      <w:r w:rsidR="000D1E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распоряжений</w:t>
      </w:r>
      <w:r w:rsidR="00253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Секретарского сельсовета </w:t>
      </w:r>
      <w:r w:rsidR="000D1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20.07.2018г №14-р  и  </w:t>
      </w:r>
      <w:r w:rsidR="00253DD9">
        <w:rPr>
          <w:rFonts w:ascii="Times New Roman" w:eastAsia="Times New Roman" w:hAnsi="Times New Roman" w:cs="Times New Roman"/>
          <w:sz w:val="28"/>
          <w:szCs w:val="28"/>
          <w:lang w:eastAsia="ru-RU"/>
        </w:rPr>
        <w:t>т 23.12.2020 года не проведена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85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End"/>
    </w:p>
    <w:p w:rsidR="00285629" w:rsidRPr="00C34E4D" w:rsidRDefault="00285629" w:rsidP="002856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2020 год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нарушении Инструкции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бюджетному учету № 157н.</w:t>
      </w:r>
      <w:r w:rsidRPr="00CE52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Оборотные ведомости по учёту материальных запасов за 202</w:t>
      </w:r>
      <w:r w:rsidR="0002345C">
        <w:rPr>
          <w:rFonts w:ascii="Times New Roman" w:eastAsia="Times New Roman" w:hAnsi="Times New Roman" w:cs="Times New Roman"/>
          <w:sz w:val="28"/>
          <w:szCs w:val="24"/>
          <w:lang w:eastAsia="ru-RU"/>
        </w:rPr>
        <w:t>0 год к проверке не предъявлены;</w:t>
      </w:r>
    </w:p>
    <w:p w:rsidR="0002345C" w:rsidRDefault="00967889" w:rsidP="000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023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составляется  ведомость</w:t>
      </w:r>
      <w:r w:rsidR="0002345C"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материальных ценностей на нужды учреждения</w:t>
      </w:r>
      <w:r w:rsidR="00023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(ф 0504210) за 2021 год;</w:t>
      </w:r>
    </w:p>
    <w:p w:rsidR="0002345C" w:rsidRDefault="0002345C" w:rsidP="000234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отдельных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Актах о списании материальных запасов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2021 год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отсутствует заключение комиссии (форма по ОКУД 0504230),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актах за (февраль, март, апрель, июль 2021г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нет подписи одного из членов постоянно действующей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специалиста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Зюзиной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Н.С. и бухгалтера Титовой М.А.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-  при списании запчастей приобретённых для текущего ремонта автомобиля и других объектов основных средств акт приёма-сдачи отремонтированных, реконструированных и модернизированных объектов основных средств (ф. 0504103) не составляется;  </w:t>
      </w: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>- порядок приобретения и способ аналитического учёта материальных запас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ов в</w:t>
      </w:r>
      <w:r w:rsidR="009B30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Учётной политике Секретарского</w:t>
      </w: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не утверждён;</w:t>
      </w:r>
    </w:p>
    <w:p w:rsidR="00967889" w:rsidRPr="00B01E59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 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нарушается порядок заполнения  путевых листов, утверждённый приказом Минтранса РФ от 18.09.2008 №152 «Об утверждении обязательных реквизитов и порядка заполнения путевых листов»;</w:t>
      </w:r>
    </w:p>
    <w:p w:rsidR="005E3F2B" w:rsidRDefault="00967889" w:rsidP="005E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пункта 2.2 договора заключённого межд</w:t>
      </w:r>
      <w:r w:rsidR="009B3088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администрацией Секретарского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ООО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Гамаюн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к проверке не предъявлены информационные чеки</w:t>
      </w:r>
      <w:r w:rsidR="009B3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заправку ГСМ за 2020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E3F2B" w:rsidRPr="005E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E3F2B" w:rsidRPr="005E3F2B" w:rsidRDefault="005E3F2B" w:rsidP="005E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E3F2B">
        <w:rPr>
          <w:rFonts w:ascii="Times New Roman" w:eastAsia="Times New Roman" w:hAnsi="Times New Roman" w:cs="Times New Roman"/>
          <w:sz w:val="28"/>
          <w:szCs w:val="24"/>
          <w:lang w:eastAsia="ru-RU"/>
        </w:rPr>
        <w:t>- 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E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автомобиль ВАЗ 2310 НИВА</w:t>
      </w:r>
      <w:r w:rsidRPr="005E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норма расхода топлива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зимний период</w:t>
      </w:r>
      <w:r w:rsidR="00E70C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0C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="00E70C49"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транс</w:t>
      </w:r>
      <w:r w:rsidR="00E70C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</w:t>
      </w:r>
      <w:r w:rsidR="00E70C49" w:rsidRPr="00DD2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C49"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14.03.2008 года № АМ-23-р «О введении в действие Методических рекомендаций "Нормы расхода топлив и смазочных материало</w:t>
      </w:r>
      <w:r w:rsidR="00E70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 автомобильном транспорте»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 14,12</w:t>
      </w:r>
      <w:r w:rsidRPr="005E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5E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00км</w:t>
      </w:r>
      <w:r w:rsidRPr="005E3F2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E70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3F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сельским советом в нарушение  поряд</w:t>
      </w:r>
      <w:r w:rsidR="00E70C49">
        <w:rPr>
          <w:rFonts w:ascii="Times New Roman" w:eastAsia="Times New Roman" w:hAnsi="Times New Roman" w:cs="Times New Roman"/>
          <w:sz w:val="28"/>
          <w:szCs w:val="24"/>
          <w:lang w:eastAsia="ru-RU"/>
        </w:rPr>
        <w:t>ка норма расхода утверждена 14,29л.</w:t>
      </w:r>
      <w:r w:rsidR="000D1E8A">
        <w:rPr>
          <w:rFonts w:ascii="Times New Roman" w:eastAsia="Times New Roman" w:hAnsi="Times New Roman" w:cs="Times New Roman"/>
          <w:sz w:val="28"/>
          <w:szCs w:val="24"/>
          <w:lang w:eastAsia="ru-RU"/>
        </w:rPr>
        <w:t>, разница  составляет 0,17л</w:t>
      </w:r>
      <w:r w:rsidR="0045207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5E3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End"/>
    </w:p>
    <w:p w:rsidR="00967889" w:rsidRPr="007A0018" w:rsidRDefault="008B44A1" w:rsidP="00452075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F79646" w:themeColor="accent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 w:rsidR="009678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  <w:r w:rsidR="00967889" w:rsidRPr="00B01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Соблюдение порядка формирования и утверждения системы оплаты труда, штатного расписания, начисления и выплаты заработной платы.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</w:t>
      </w:r>
    </w:p>
    <w:p w:rsidR="00967889" w:rsidRPr="008F73AE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 расчёт и выдача заработной платы осуществляется на основании  Расчётно-платёжной ведомости (0504401)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осуществлять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Расчетной ведомости (</w:t>
      </w:r>
      <w:hyperlink r:id="rId9" w:anchor="l226" w:tgtFrame="_blank" w:history="1">
        <w:r w:rsidRPr="008F73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ф. 0</w:t>
        </w:r>
      </w:hyperlink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0504402)</w:t>
      </w:r>
      <w:r w:rsidRPr="00A30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</w:t>
      </w:r>
      <w:hyperlink r:id="rId10" w:tgtFrame="_blank" w:history="1">
        <w:r w:rsidRPr="00CA235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РФ от 30.03.2015 N 52</w:t>
      </w:r>
      <w:r w:rsidRPr="00CA23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67889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указании количества расчетных дней в форме 0504425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«Записка расчёт об исчислении среднего заработка при предоставлении отпуска, увольнении и других случаях»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производится разделение дней по видам отпуска (основной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ежегодный, дополнительный) (ст. 114-116 ТК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 указано  основание начисления отпускных, период отпуска;</w:t>
      </w:r>
    </w:p>
    <w:p w:rsidR="007A3104" w:rsidRDefault="007A3104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установлена недоплата заработной платы в сумме 6066,85 рублей, в том числе отпускных в сумме 514,20 рублей, единовременной в</w:t>
      </w:r>
      <w:r w:rsidR="000D1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ыплаты к отпуску 5552,65 рублей.  Установлена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переплата отпускных</w:t>
      </w:r>
      <w:r w:rsidR="000D1E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210,23 рубля;</w:t>
      </w:r>
    </w:p>
    <w:p w:rsidR="00967889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B01E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D5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договорах ГПХ</w:t>
      </w:r>
      <w:r w:rsidR="009D5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2020-2021год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указано</w:t>
      </w:r>
      <w:r w:rsidRPr="00595A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кому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принадлежит транспорт и за счёт кого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осуществляться заправка транспорта</w:t>
      </w:r>
      <w:r w:rsidR="009D5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стоимость одно</w:t>
      </w:r>
      <w:r w:rsidR="00413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часа работы транспорта, к актам</w:t>
      </w:r>
      <w:r w:rsidR="009D59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сдачи – приёмки работ с физ. лицами не приложены путевые листы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D2BC2" w:rsidRDefault="008B44A1" w:rsidP="00400A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00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967889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889" w:rsidRPr="00B01E5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Проверка соблюдения требования законодательства Российской Федерации и иных нормативных правовых актов Российской                               Федерации в сфере закупок.  </w:t>
      </w:r>
      <w:r w:rsidR="00CD2B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400A6F" w:rsidRDefault="00CD2BC2" w:rsidP="00400A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</w:t>
      </w:r>
      <w:r w:rsidRPr="009B2E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соответствии с частью 6 статьи 16 Закона N 44-ФЗ план-график утверждается муниципальным заказчиком в течение десяти рабочих дней после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 </w:t>
      </w:r>
      <w:r w:rsidRPr="009B2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нарушении данных норм план-график на 2020 год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 и размещён 22.01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года;</w:t>
      </w:r>
      <w:r w:rsidR="00400A6F" w:rsidRPr="0040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A6F" w:rsidRPr="00CA2357" w:rsidRDefault="00400A6F" w:rsidP="00400A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п.4 порядка формирования, утверждения планов-графиков закупок, утверждённого постановлением правительства РФ от 30.09.2019г. №1279 планы – графики на 2020-2021г.г. размещены только по бюджету текущего  2020 года и 2021 года. Показатели бюджета на плановый период 2021-2022г.г. и 2022-2023г.г. в плане графике на 2020 и 2021 год не отражены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C69C7" w:rsidRDefault="00EC69C7" w:rsidP="00EC69C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части 6 статьи 19 Федерального 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от 05.04.2013 № 44-ФЗ нормативные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D56A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D56AE4"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ЕИС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C0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</w:p>
    <w:p w:rsidR="00EC69C7" w:rsidRPr="009C084B" w:rsidRDefault="00EC69C7" w:rsidP="00EC69C7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утверждены, нормативные затраты на обеспечение функций муниципального органа,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нарушена 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5 статьи 19 Закона №44-ФЗ);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6D68" w:rsidRPr="00776520" w:rsidRDefault="00676D68" w:rsidP="00676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договорах (контрактах), заключенных с единственными поставщиками (подрядчиками, исполнителями) на сумму, не превышаю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щую триста</w:t>
      </w:r>
      <w:r w:rsidRPr="00776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рублей (с 24.04.2020 шестьсот тысяч рублей), в нарушение требований частей 2 статьи 34 Закона о контрактной системе не отразило в них обязательное условие о том, что цена контракта является твердой и определяется на весь срок исполнения контракта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67889" w:rsidRDefault="00967889" w:rsidP="00967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нарушение постановления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 января 2014 г. № 19 "Об установлении случаев, в которых при заключении контракта в документации о закупке указываются формула цены и максимальное значение цены контракта" в  д</w:t>
      </w:r>
      <w:r w:rsidR="00D56AE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энергоснабжения на </w:t>
      </w:r>
      <w:r w:rsidR="00D56AE4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год,  заключенного</w:t>
      </w:r>
      <w:r w:rsidRPr="00B01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единственным поставщиком (исполнителем) по п. 29 ч. 1 статьи 93 Закона №44-ФЗ с ОАО «ЭнергосбыТ Плюс» указана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ориентировочная цена контракта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67889" w:rsidRDefault="00967889" w:rsidP="00967889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оплате</w:t>
      </w:r>
      <w:r w:rsidR="00BC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договоров: №309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 w:rsidR="00BC09DA">
        <w:rPr>
          <w:rFonts w:ascii="Times New Roman" w:eastAsia="Times New Roman" w:hAnsi="Times New Roman" w:cs="Times New Roman"/>
          <w:sz w:val="28"/>
          <w:szCs w:val="28"/>
          <w:lang w:eastAsia="ru-RU"/>
        </w:rPr>
        <w:t>8.06.2020г и №225/Л-1036 от 13.07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.2020г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заключенных</w:t>
      </w:r>
      <w:r w:rsidRPr="008F73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части 4 ст. 93 Закона о контрактной системе  допущено превышение срока оплаты поставленных товаров (выполненных работ, оказанных услуг) 30 календарных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(нарушена     часть</w:t>
      </w:r>
      <w:r w:rsidRPr="008F7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статьи 94 настоящего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20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33B4" w:rsidRDefault="00967889" w:rsidP="004520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7333B4" w:rsidRDefault="007333B4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2075" w:rsidRDefault="00452075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52075" w:rsidRDefault="00452075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52075" w:rsidRDefault="00452075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55AB" w:rsidRPr="007333B4" w:rsidRDefault="00B97C67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</w:t>
      </w:r>
      <w:r w:rsidR="00D055AB"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Ермолаева Е.И.</w:t>
      </w:r>
    </w:p>
    <w:p w:rsidR="00967889" w:rsidRPr="00B97C67" w:rsidRDefault="00793845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 w:rsidR="00B97C67" w:rsidRPr="00B97C67">
        <w:rPr>
          <w:rFonts w:ascii="Times New Roman" w:eastAsia="Times New Roman" w:hAnsi="Times New Roman" w:cs="Times New Roman"/>
          <w:sz w:val="18"/>
          <w:szCs w:val="18"/>
          <w:lang w:eastAsia="ru-RU"/>
        </w:rPr>
        <w:t>ел. (835354) 2-10-17</w:t>
      </w: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889" w:rsidRPr="00B01E59" w:rsidRDefault="00967889" w:rsidP="0096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2C5506" w:rsidRDefault="002C5506" w:rsidP="00D60E27">
      <w:pPr>
        <w:pStyle w:val="1"/>
        <w:spacing w:after="0"/>
        <w:ind w:firstLine="0"/>
      </w:pPr>
    </w:p>
    <w:p w:rsidR="00534A52" w:rsidRPr="00513E22" w:rsidRDefault="00534A52" w:rsidP="00D60E27">
      <w:pPr>
        <w:pStyle w:val="1"/>
        <w:spacing w:after="0"/>
        <w:ind w:firstLine="0"/>
      </w:pPr>
    </w:p>
    <w:sectPr w:rsidR="00534A52" w:rsidRPr="00513E22" w:rsidSect="007425A6">
      <w:headerReference w:type="defaul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EEE" w:rsidRDefault="00076EEE" w:rsidP="007425A6">
      <w:pPr>
        <w:spacing w:after="0" w:line="240" w:lineRule="auto"/>
      </w:pPr>
      <w:r>
        <w:separator/>
      </w:r>
    </w:p>
  </w:endnote>
  <w:endnote w:type="continuationSeparator" w:id="0">
    <w:p w:rsidR="00076EEE" w:rsidRDefault="00076EEE" w:rsidP="0074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EEE" w:rsidRDefault="00076EEE" w:rsidP="007425A6">
      <w:pPr>
        <w:spacing w:after="0" w:line="240" w:lineRule="auto"/>
      </w:pPr>
      <w:r>
        <w:separator/>
      </w:r>
    </w:p>
  </w:footnote>
  <w:footnote w:type="continuationSeparator" w:id="0">
    <w:p w:rsidR="00076EEE" w:rsidRDefault="00076EEE" w:rsidP="0074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58" w:rsidRPr="007425A6" w:rsidRDefault="004E6758" w:rsidP="007425A6">
    <w:pPr>
      <w:spacing w:after="0" w:line="240" w:lineRule="auto"/>
      <w:rPr>
        <w:rFonts w:ascii="Tahoma" w:eastAsia="Times New Roman" w:hAnsi="Tahoma" w:cs="Tahoma"/>
        <w:sz w:val="16"/>
        <w:szCs w:val="16"/>
        <w:lang w:eastAsia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E536B"/>
    <w:multiLevelType w:val="hybridMultilevel"/>
    <w:tmpl w:val="9000B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A6"/>
    <w:rsid w:val="0000066C"/>
    <w:rsid w:val="0000737E"/>
    <w:rsid w:val="0002345C"/>
    <w:rsid w:val="00033813"/>
    <w:rsid w:val="00076EEE"/>
    <w:rsid w:val="000814D6"/>
    <w:rsid w:val="000B799E"/>
    <w:rsid w:val="000C03BB"/>
    <w:rsid w:val="000D1E8A"/>
    <w:rsid w:val="000E568B"/>
    <w:rsid w:val="000E6B46"/>
    <w:rsid w:val="000F0EB9"/>
    <w:rsid w:val="0012138B"/>
    <w:rsid w:val="001217AA"/>
    <w:rsid w:val="00124B2B"/>
    <w:rsid w:val="00141DFF"/>
    <w:rsid w:val="001455C6"/>
    <w:rsid w:val="0016401C"/>
    <w:rsid w:val="001E717F"/>
    <w:rsid w:val="001F006C"/>
    <w:rsid w:val="00253DD9"/>
    <w:rsid w:val="00254EB6"/>
    <w:rsid w:val="00263698"/>
    <w:rsid w:val="0027452F"/>
    <w:rsid w:val="00285629"/>
    <w:rsid w:val="002C40AD"/>
    <w:rsid w:val="002C5506"/>
    <w:rsid w:val="002D41F4"/>
    <w:rsid w:val="00301EBD"/>
    <w:rsid w:val="00320918"/>
    <w:rsid w:val="00332F96"/>
    <w:rsid w:val="003679D7"/>
    <w:rsid w:val="0038064D"/>
    <w:rsid w:val="00380BC7"/>
    <w:rsid w:val="003822E6"/>
    <w:rsid w:val="0039675C"/>
    <w:rsid w:val="003C31BD"/>
    <w:rsid w:val="003C6327"/>
    <w:rsid w:val="003D1AB0"/>
    <w:rsid w:val="00400A6F"/>
    <w:rsid w:val="0040546C"/>
    <w:rsid w:val="00413A7E"/>
    <w:rsid w:val="004203C4"/>
    <w:rsid w:val="0043182E"/>
    <w:rsid w:val="004375F4"/>
    <w:rsid w:val="00452075"/>
    <w:rsid w:val="00456828"/>
    <w:rsid w:val="0046060B"/>
    <w:rsid w:val="00464037"/>
    <w:rsid w:val="0047224C"/>
    <w:rsid w:val="004A68E2"/>
    <w:rsid w:val="004D1474"/>
    <w:rsid w:val="004D56E8"/>
    <w:rsid w:val="004D7821"/>
    <w:rsid w:val="004E1EFF"/>
    <w:rsid w:val="004E6758"/>
    <w:rsid w:val="00534A52"/>
    <w:rsid w:val="00535D27"/>
    <w:rsid w:val="0054451C"/>
    <w:rsid w:val="005520D0"/>
    <w:rsid w:val="00566C92"/>
    <w:rsid w:val="005A2050"/>
    <w:rsid w:val="005E3F2B"/>
    <w:rsid w:val="005E77D1"/>
    <w:rsid w:val="005F226E"/>
    <w:rsid w:val="006153E1"/>
    <w:rsid w:val="00642809"/>
    <w:rsid w:val="00676D68"/>
    <w:rsid w:val="006D0EFA"/>
    <w:rsid w:val="006F26EB"/>
    <w:rsid w:val="007333B4"/>
    <w:rsid w:val="0073724F"/>
    <w:rsid w:val="007425A6"/>
    <w:rsid w:val="007627BA"/>
    <w:rsid w:val="00793845"/>
    <w:rsid w:val="007A3104"/>
    <w:rsid w:val="007E7909"/>
    <w:rsid w:val="00803466"/>
    <w:rsid w:val="00826ADD"/>
    <w:rsid w:val="008B44A1"/>
    <w:rsid w:val="00905875"/>
    <w:rsid w:val="009319A3"/>
    <w:rsid w:val="00936598"/>
    <w:rsid w:val="009365D7"/>
    <w:rsid w:val="0096506A"/>
    <w:rsid w:val="00967889"/>
    <w:rsid w:val="009B1C27"/>
    <w:rsid w:val="009B3088"/>
    <w:rsid w:val="009D2AC1"/>
    <w:rsid w:val="009D59C3"/>
    <w:rsid w:val="009D683C"/>
    <w:rsid w:val="009E3C8E"/>
    <w:rsid w:val="009E73BE"/>
    <w:rsid w:val="00A00D63"/>
    <w:rsid w:val="00A03CE1"/>
    <w:rsid w:val="00A1223B"/>
    <w:rsid w:val="00A411F9"/>
    <w:rsid w:val="00A454B1"/>
    <w:rsid w:val="00A841D0"/>
    <w:rsid w:val="00A96D0A"/>
    <w:rsid w:val="00AC4E34"/>
    <w:rsid w:val="00B13348"/>
    <w:rsid w:val="00B32490"/>
    <w:rsid w:val="00B82219"/>
    <w:rsid w:val="00B85C95"/>
    <w:rsid w:val="00B97C67"/>
    <w:rsid w:val="00BC09DA"/>
    <w:rsid w:val="00BF31D2"/>
    <w:rsid w:val="00C400FE"/>
    <w:rsid w:val="00C4532B"/>
    <w:rsid w:val="00C66F4B"/>
    <w:rsid w:val="00C73B23"/>
    <w:rsid w:val="00C82C79"/>
    <w:rsid w:val="00C9696C"/>
    <w:rsid w:val="00CD2BC2"/>
    <w:rsid w:val="00CD7829"/>
    <w:rsid w:val="00CE045E"/>
    <w:rsid w:val="00CE3203"/>
    <w:rsid w:val="00CE5B78"/>
    <w:rsid w:val="00CF22CB"/>
    <w:rsid w:val="00D055AB"/>
    <w:rsid w:val="00D10DA2"/>
    <w:rsid w:val="00D1191C"/>
    <w:rsid w:val="00D148C1"/>
    <w:rsid w:val="00D42634"/>
    <w:rsid w:val="00D4291B"/>
    <w:rsid w:val="00D440D3"/>
    <w:rsid w:val="00D44434"/>
    <w:rsid w:val="00D46C4A"/>
    <w:rsid w:val="00D54865"/>
    <w:rsid w:val="00D56AE4"/>
    <w:rsid w:val="00D57AC2"/>
    <w:rsid w:val="00D60E27"/>
    <w:rsid w:val="00DA7FD0"/>
    <w:rsid w:val="00DC778C"/>
    <w:rsid w:val="00DC7DF0"/>
    <w:rsid w:val="00E127D9"/>
    <w:rsid w:val="00E339D2"/>
    <w:rsid w:val="00E410CE"/>
    <w:rsid w:val="00E70C49"/>
    <w:rsid w:val="00EA133D"/>
    <w:rsid w:val="00EA219A"/>
    <w:rsid w:val="00EA508A"/>
    <w:rsid w:val="00EC20AB"/>
    <w:rsid w:val="00EC69C7"/>
    <w:rsid w:val="00EE0954"/>
    <w:rsid w:val="00EE7ADE"/>
    <w:rsid w:val="00F47716"/>
    <w:rsid w:val="00F56032"/>
    <w:rsid w:val="00F72535"/>
    <w:rsid w:val="00F765DC"/>
    <w:rsid w:val="00F7743A"/>
    <w:rsid w:val="00F85ACC"/>
    <w:rsid w:val="00FB1E1D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5A6"/>
  </w:style>
  <w:style w:type="paragraph" w:styleId="a5">
    <w:name w:val="footer"/>
    <w:basedOn w:val="a"/>
    <w:link w:val="a6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5A6"/>
  </w:style>
  <w:style w:type="paragraph" w:styleId="a7">
    <w:name w:val="Balloon Text"/>
    <w:basedOn w:val="a"/>
    <w:link w:val="a8"/>
    <w:uiPriority w:val="99"/>
    <w:semiHidden/>
    <w:unhideWhenUsed/>
    <w:rsid w:val="0074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5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F7743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F7743A"/>
    <w:pPr>
      <w:widowControl w:val="0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7743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7743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82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25A6"/>
  </w:style>
  <w:style w:type="paragraph" w:styleId="a5">
    <w:name w:val="footer"/>
    <w:basedOn w:val="a"/>
    <w:link w:val="a6"/>
    <w:uiPriority w:val="99"/>
    <w:unhideWhenUsed/>
    <w:rsid w:val="00742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25A6"/>
  </w:style>
  <w:style w:type="paragraph" w:styleId="a7">
    <w:name w:val="Balloon Text"/>
    <w:basedOn w:val="a"/>
    <w:link w:val="a8"/>
    <w:uiPriority w:val="99"/>
    <w:semiHidden/>
    <w:unhideWhenUsed/>
    <w:rsid w:val="00742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5A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"/>
    <w:rsid w:val="00F7743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F7743A"/>
    <w:pPr>
      <w:widowControl w:val="0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F7743A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F7743A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8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base.garant.ru/1218135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25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76A79-7902-4D1A-BE76-116454A16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Пестов Ю.В.</dc:creator>
  <cp:lastModifiedBy>Ермолаева</cp:lastModifiedBy>
  <cp:revision>5</cp:revision>
  <cp:lastPrinted>2021-12-02T05:38:00Z</cp:lastPrinted>
  <dcterms:created xsi:type="dcterms:W3CDTF">2022-05-31T06:32:00Z</dcterms:created>
  <dcterms:modified xsi:type="dcterms:W3CDTF">2022-05-31T07:29:00Z</dcterms:modified>
</cp:coreProperties>
</file>