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0"/>
        </w:rPr>
        <w:drawing>
          <wp:inline>
            <wp:extent cx="485775" cy="6096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485775" cy="6096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3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АДМИНИСТРАЦИЯ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СЕВЕРНОГО РАЙОНА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04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ОРЕНБУРГСКОЙ ОБЛАСТИ</w:t>
      </w:r>
    </w:p>
    <w:p w14:paraId="05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6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ПОСТАНОВЛЕНИЕ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07000000">
      <w:pPr>
        <w:widowControl w:val="0"/>
        <w:tabs>
          <w:tab w:leader="none" w:pos="4677" w:val="center"/>
          <w:tab w:leader="none" w:pos="9355" w:val="right"/>
        </w:tabs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g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wrapNone/>
                <wp:docPr hidden="false" id="3" name="Picture 3"/>
                <a:graphic>
                  <a:graphicData uri="http://schemas.microsoft.com/office/word/2010/wordprocessingGroup">
                    <wpg:wgp>
                      <wpg:cNvGrpSpPr/>
                      <wpg:grpSpPr>
                        <a:xfrm flipH="false" flipV="false" rot="0">
                          <a:off x="0" y="0"/>
                          <a:ext cx="6010275" cy="45720"/>
                          <a:chOff x="0" y="0"/>
                          <a:chExt cx="6010275" cy="45720"/>
                        </a:xfrm>
                      </wpg:grpSpPr>
                      <wps:wsp>
                        <wps:cNvSpPr txBox="false"/>
                        <wps:spPr>
                          <a:xfrm flipH="false" flipV="false" rot="0">
                            <a:off x="0" y="0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headEnd len="med" type="none" w="med"/>
                            <a:tailEnd len="med" type="none" w="med"/>
                          </a:ln>
                        </wps:spPr>
                        <wps:bodyPr bIns="45720" lIns="91440" rIns="91440" tIns="45720"/>
                      </wps:wsp>
                      <wps:wsp>
                        <wps:cNvSpPr txBox="false"/>
                        <wps:spPr>
                          <a:xfrm flipH="false" flipV="false" rot="0">
                            <a:off x="0" y="45720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prstDash val="solid"/>
                            <a:headEnd len="med" type="none" w="med"/>
                            <a:tailEnd len="med" type="none" w="med"/>
                          </a:ln>
                        </wps:spPr>
                        <wps:bodyPr bIns="45720" lIns="91440" rIns="91440" tIns="45720"/>
                      </wps:wsp>
                    </wpg:wg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tbl>
      <w:tblPr>
        <w:tblStyle w:val="Style_1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3190"/>
        <w:gridCol w:w="3190"/>
        <w:gridCol w:w="3191"/>
      </w:tblGrid>
      <w:tr>
        <w:tc>
          <w:tcPr>
            <w:tcW w:type="dxa" w:w="319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8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  <w:u w:val="single"/>
              </w:rPr>
              <w:t>22</w:t>
            </w:r>
            <w:r>
              <w:rPr>
                <w:rFonts w:ascii="Times New Roman" w:hAnsi="Times New Roman"/>
                <w:sz w:val="28"/>
                <w:u w:val="single"/>
              </w:rPr>
              <w:t>.12.202</w:t>
            </w:r>
            <w:r>
              <w:rPr>
                <w:rFonts w:ascii="Times New Roman" w:hAnsi="Times New Roman"/>
                <w:sz w:val="28"/>
                <w:u w:val="single"/>
              </w:rPr>
              <w:t>3</w:t>
            </w:r>
          </w:p>
        </w:tc>
        <w:tc>
          <w:tcPr>
            <w:tcW w:type="dxa" w:w="319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9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</w:rPr>
              <w:t>с. Северное</w:t>
            </w:r>
          </w:p>
        </w:tc>
        <w:tc>
          <w:tcPr>
            <w:tcW w:type="dxa" w:w="3191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A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</w:rPr>
              <w:t xml:space="preserve">№ </w:t>
            </w:r>
            <w:r>
              <w:rPr>
                <w:rFonts w:ascii="Times New Roman" w:hAnsi="Times New Roman"/>
                <w:sz w:val="28"/>
              </w:rPr>
              <w:t>648</w:t>
            </w:r>
            <w:r>
              <w:rPr>
                <w:rFonts w:ascii="Times New Roman" w:hAnsi="Times New Roman"/>
                <w:sz w:val="28"/>
              </w:rPr>
              <w:t>-п</w:t>
            </w:r>
          </w:p>
        </w:tc>
      </w:tr>
    </w:tbl>
    <w:p w14:paraId="0B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C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D000000">
      <w:pPr>
        <w:widowControl w:val="0"/>
        <w:tabs>
          <w:tab w:leader="none" w:pos="326" w:val="left"/>
          <w:tab w:leader="none" w:pos="4890" w:val="center"/>
        </w:tabs>
        <w:spacing w:after="0" w:line="240" w:lineRule="auto"/>
        <w:ind w:right="-425"/>
        <w:rPr>
          <w:rFonts w:ascii="Times New Roman" w:hAnsi="Times New Roman"/>
          <w:sz w:val="28"/>
        </w:rPr>
      </w:pPr>
    </w:p>
    <w:p w14:paraId="0E000000">
      <w:pPr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 проведении районной межведомственной профилактической акции «Помоги ребенку»</w:t>
      </w:r>
    </w:p>
    <w:p w14:paraId="0F000000">
      <w:pPr>
        <w:widowControl w:val="0"/>
        <w:tabs>
          <w:tab w:leader="none" w:pos="326" w:val="left"/>
          <w:tab w:leader="none" w:pos="4890" w:val="center"/>
        </w:tabs>
        <w:spacing w:after="0" w:line="240" w:lineRule="auto"/>
        <w:ind w:right="-42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14:paraId="10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</w:t>
      </w:r>
      <w:r>
        <w:rPr>
          <w:rFonts w:ascii="Times New Roman" w:hAnsi="Times New Roman"/>
          <w:sz w:val="28"/>
        </w:rPr>
        <w:t>с Федеральным</w:t>
      </w:r>
      <w:r>
        <w:rPr>
          <w:rFonts w:ascii="Times New Roman" w:hAnsi="Times New Roman"/>
          <w:sz w:val="28"/>
        </w:rPr>
        <w:t xml:space="preserve"> закон</w:t>
      </w:r>
      <w:r>
        <w:rPr>
          <w:rFonts w:ascii="Times New Roman" w:hAnsi="Times New Roman"/>
          <w:sz w:val="28"/>
        </w:rPr>
        <w:t>ом №120–ФЗ от 24.06.1999</w:t>
      </w:r>
      <w:r>
        <w:rPr>
          <w:rFonts w:ascii="Times New Roman" w:hAnsi="Times New Roman"/>
          <w:sz w:val="28"/>
        </w:rPr>
        <w:t xml:space="preserve"> «Об основах системы профилактики безнадзорности и правонарушений несовершеннолетних»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стать</w:t>
      </w:r>
      <w:r>
        <w:rPr>
          <w:rFonts w:ascii="Times New Roman" w:hAnsi="Times New Roman"/>
          <w:sz w:val="28"/>
        </w:rPr>
        <w:t>ей</w:t>
      </w:r>
      <w:r>
        <w:rPr>
          <w:rFonts w:ascii="Times New Roman" w:hAnsi="Times New Roman"/>
          <w:sz w:val="28"/>
        </w:rPr>
        <w:t xml:space="preserve"> 4 Устава муниципального образования </w:t>
      </w:r>
      <w:r>
        <w:rPr>
          <w:rFonts w:ascii="Times New Roman" w:hAnsi="Times New Roman"/>
          <w:sz w:val="28"/>
        </w:rPr>
        <w:t>Северный</w:t>
      </w:r>
      <w:r>
        <w:rPr>
          <w:rFonts w:ascii="Times New Roman" w:hAnsi="Times New Roman"/>
          <w:sz w:val="28"/>
        </w:rPr>
        <w:t xml:space="preserve"> район Оренб</w:t>
      </w:r>
      <w:r>
        <w:rPr>
          <w:rFonts w:ascii="Times New Roman" w:hAnsi="Times New Roman"/>
          <w:sz w:val="28"/>
        </w:rPr>
        <w:t>ургской области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</w:t>
      </w:r>
    </w:p>
    <w:p w14:paraId="11000000">
      <w:pPr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1. Провести  с 2</w:t>
      </w:r>
      <w:r>
        <w:rPr>
          <w:rFonts w:ascii="Times New Roman" w:hAnsi="Times New Roman"/>
          <w:color w:val="000000"/>
          <w:sz w:val="28"/>
        </w:rPr>
        <w:t>5</w:t>
      </w:r>
      <w:r>
        <w:rPr>
          <w:rFonts w:ascii="Times New Roman" w:hAnsi="Times New Roman"/>
          <w:color w:val="000000"/>
          <w:sz w:val="28"/>
        </w:rPr>
        <w:t xml:space="preserve"> декабря 20</w:t>
      </w:r>
      <w:r>
        <w:rPr>
          <w:rFonts w:ascii="Times New Roman" w:hAnsi="Times New Roman"/>
          <w:color w:val="000000"/>
          <w:sz w:val="28"/>
        </w:rPr>
        <w:t>2</w:t>
      </w:r>
      <w:r>
        <w:rPr>
          <w:rFonts w:ascii="Times New Roman" w:hAnsi="Times New Roman"/>
          <w:color w:val="000000"/>
          <w:sz w:val="28"/>
        </w:rPr>
        <w:t>3</w:t>
      </w:r>
      <w:r>
        <w:rPr>
          <w:rFonts w:ascii="Times New Roman" w:hAnsi="Times New Roman"/>
          <w:color w:val="000000"/>
          <w:sz w:val="28"/>
        </w:rPr>
        <w:t xml:space="preserve"> года по 1 марта 202</w:t>
      </w:r>
      <w:r>
        <w:rPr>
          <w:rFonts w:ascii="Times New Roman" w:hAnsi="Times New Roman"/>
          <w:color w:val="000000"/>
          <w:sz w:val="28"/>
        </w:rPr>
        <w:t>4</w:t>
      </w:r>
      <w:r>
        <w:rPr>
          <w:rFonts w:ascii="Times New Roman" w:hAnsi="Times New Roman"/>
          <w:color w:val="000000"/>
          <w:sz w:val="28"/>
        </w:rPr>
        <w:t xml:space="preserve"> года на территории района  межведомственную профилактическую акцию «Помоги ребенку» под девизом «</w:t>
      </w:r>
      <w:r>
        <w:rPr>
          <w:rFonts w:ascii="Times New Roman" w:hAnsi="Times New Roman"/>
          <w:color w:val="000000"/>
          <w:sz w:val="28"/>
        </w:rPr>
        <w:t>Спешите делать добрые дела!</w:t>
      </w:r>
      <w:r>
        <w:rPr>
          <w:rFonts w:ascii="Times New Roman" w:hAnsi="Times New Roman"/>
          <w:color w:val="000000"/>
          <w:sz w:val="28"/>
        </w:rPr>
        <w:t>».</w:t>
      </w:r>
      <w:r>
        <w:rPr>
          <w:rFonts w:ascii="Times New Roman" w:hAnsi="Times New Roman"/>
          <w:sz w:val="28"/>
        </w:rPr>
        <w:t xml:space="preserve"> Акция приурочена к году семьи в России, который утвержден Указом Президента Российской Федерации № 875 от 22.11.2023 в целях популяризации государственной политики в сфере защиты семьи, сохранения традиционных семейных ценностей.</w:t>
      </w:r>
    </w:p>
    <w:p w14:paraId="12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 Координацию деятельности органов и учреждений системы профилактики безнадзорности и правонарушений несовершеннолетних по организации и проведению акции возложить на комиссию по делам несовершеннолетних и защите их прав.</w:t>
      </w:r>
    </w:p>
    <w:p w14:paraId="13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 Определить приоритетные направления деятельности органов и учреждений системы профилактики безнадзорности и правонарушений несовершеннолетних</w:t>
      </w:r>
      <w:r>
        <w:rPr>
          <w:rFonts w:ascii="Times New Roman" w:hAnsi="Times New Roman"/>
          <w:color w:val="000000"/>
          <w:sz w:val="28"/>
        </w:rPr>
        <w:t xml:space="preserve"> :</w:t>
      </w:r>
    </w:p>
    <w:p w14:paraId="14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3.1. Профилактики безнадзорности и правонарушений несовершеннолетних</w:t>
      </w:r>
      <w:r>
        <w:rPr>
          <w:rFonts w:ascii="Times New Roman" w:hAnsi="Times New Roman"/>
          <w:color w:val="000000"/>
          <w:sz w:val="28"/>
        </w:rPr>
        <w:t xml:space="preserve"> :</w:t>
      </w:r>
    </w:p>
    <w:p w14:paraId="15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3.1.1. Предупреждение беспризорности, безнадзорности и правонарушений несовершеннолетних, защита их прав и законных интересов. </w:t>
      </w:r>
    </w:p>
    <w:p w14:paraId="16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3.1.2. Создание оптимальных условий для занятости, отдыха и оздоровления детей и подростков в период зимних каникул.</w:t>
      </w:r>
    </w:p>
    <w:p w14:paraId="17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3.1.3. Выявление и учет несовершеннолетних, уклоняющихся от получения образования,  оказание им помощи в продолжение обучения.</w:t>
      </w:r>
    </w:p>
    <w:p w14:paraId="18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3.1.4.Организация работы по привлечению несовершеннолетних, состоящих на профилактических учетах, к занятиям в творческих объединениях различной направленности, спортивных кружках и </w:t>
      </w:r>
      <w:r>
        <w:rPr>
          <w:rFonts w:ascii="Times New Roman" w:hAnsi="Times New Roman"/>
          <w:color w:val="000000"/>
          <w:sz w:val="28"/>
        </w:rPr>
        <w:t>секциях</w:t>
      </w:r>
      <w:r>
        <w:rPr>
          <w:rFonts w:ascii="Times New Roman" w:hAnsi="Times New Roman"/>
          <w:color w:val="000000"/>
          <w:sz w:val="28"/>
        </w:rPr>
        <w:t xml:space="preserve"> а также закреплению за каждым из них общественного наставника, с целью организации индивидуальной работы по профилактике правонарушений.</w:t>
      </w:r>
    </w:p>
    <w:p w14:paraId="19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3.2. Предупреждение семейного неблагополучия, жестокого  обращения с детьми, совершения преступлений в отношении несовершеннолетних, нарушений их прав и законных интересов. Увеличение воспитательного потенциала родителей, формирование здорового и нравственного образа жизни семьи. Профилактика социального сиротства . </w:t>
      </w:r>
    </w:p>
    <w:p w14:paraId="1A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3.2.1.Проведение межведомственных рейдов по выявлению:</w:t>
      </w:r>
    </w:p>
    <w:p w14:paraId="1B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детей, оказавшихся в социально опасном </w:t>
      </w:r>
      <w:r>
        <w:rPr>
          <w:rFonts w:ascii="Times New Roman" w:hAnsi="Times New Roman"/>
          <w:color w:val="000000"/>
          <w:sz w:val="28"/>
        </w:rPr>
        <w:t>положении</w:t>
      </w:r>
      <w:r>
        <w:rPr>
          <w:rFonts w:ascii="Times New Roman" w:hAnsi="Times New Roman"/>
          <w:color w:val="000000"/>
          <w:sz w:val="28"/>
        </w:rPr>
        <w:t>, уклоняющихся от получения образования, занимающихся бродяжничеством, попрошайничеством, совершающих противоправные действия;</w:t>
      </w:r>
    </w:p>
    <w:p w14:paraId="1C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семей, оказавшихся в трудной жизненной ситуации, а также законных представителей, которые не исполняют обязанности по воспитанию, обучению и содержанию несовершеннолетних, других взрослых лиц, нарушающих права и законные интересы несовершеннолетних, совершающих в отношении детей противоправные действия с последующим принятием мер, предусмотренных действующим законодательством;</w:t>
      </w:r>
    </w:p>
    <w:p w14:paraId="1D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семей, оказавшихся в трудной жизненной ситуации, в связи с возникшей задолженностью по оплате коммунальных услуг;</w:t>
      </w:r>
    </w:p>
    <w:p w14:paraId="1E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мест концентрации подростков, дискотек, клубов, в том числе в ночное время, с целью </w:t>
      </w:r>
      <w:r>
        <w:rPr>
          <w:rFonts w:ascii="Times New Roman" w:hAnsi="Times New Roman"/>
          <w:color w:val="000000"/>
          <w:sz w:val="28"/>
        </w:rPr>
        <w:t>выявления фактов нарушения требований Закона</w:t>
      </w:r>
      <w:r>
        <w:rPr>
          <w:rFonts w:ascii="Times New Roman" w:hAnsi="Times New Roman"/>
          <w:color w:val="000000"/>
          <w:sz w:val="28"/>
        </w:rPr>
        <w:t xml:space="preserve"> Оренбургской области от 24.12.2009 №3279/ 760-</w:t>
      </w:r>
      <w:r>
        <w:rPr>
          <w:rFonts w:ascii="Times New Roman" w:hAnsi="Times New Roman"/>
          <w:color w:val="000000"/>
          <w:sz w:val="28"/>
        </w:rPr>
        <w:t>IV</w:t>
      </w:r>
      <w:r>
        <w:rPr>
          <w:rFonts w:ascii="Times New Roman" w:hAnsi="Times New Roman"/>
          <w:color w:val="000000"/>
          <w:sz w:val="28"/>
        </w:rPr>
        <w:t xml:space="preserve">-ОЗ «О мерах по предупреждению причинения вреда физическому, психическому, духовному и нравственному развитию детей на территории Оренбургской области». </w:t>
      </w:r>
    </w:p>
    <w:p w14:paraId="1F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3.2.2.Проведение встреч с родителями из неблагополучных семей по фактам неисполнения или ненадлежащего исполнения ими обязанностей по воспитанию детей. </w:t>
      </w:r>
    </w:p>
    <w:p w14:paraId="20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3.2.3.Выявление и пресечение случаев морального и физического насилия над детьми, унижения их человеческого достоинства.</w:t>
      </w:r>
    </w:p>
    <w:p w14:paraId="21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3.2.4. Привлечение к работе с неблагополучными семьями общественных формирований (женсовет, ветеранов, членов общественных комиссий по делам несовершеннолетних и защите их прав и др.).</w:t>
      </w:r>
    </w:p>
    <w:p w14:paraId="22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3.2.5.Оказание различных видов адресной социальной помощи семьям с детьми, оказавшимся в трудной жизненной ситуации. В случае выявления рисков для детей в неблагополучных семьях необходимо принимать экстренные меры, руководствуясь Картой-схемой сопровождения выявленного безнадзорного, беспризорного или оказавшегося в трудной жизненной ситуации несовершеннолетнего.</w:t>
      </w:r>
    </w:p>
    <w:p w14:paraId="23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3.2.6. Организация отдыха и оздоровления детей, находящихся в трудной жизненной ситуации.</w:t>
      </w:r>
    </w:p>
    <w:p w14:paraId="24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3.2.7. Контроль самовольных уходов несовершеннолетних из семей и учреждений, работа по их предупреждению.</w:t>
      </w:r>
    </w:p>
    <w:p w14:paraId="25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3.3. Формирование и развитие ценностей здорового образа жизни:</w:t>
      </w:r>
    </w:p>
    <w:p w14:paraId="26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3.3.1. Проведение мероприятий по формированию здорового образа жизни среди несовершеннолетних и их родителей, проведение массовых спортивных мероприятий, в том числе по месту жительства, вовлечение детей и подростков в активные занятия физической культурой и спортом.</w:t>
      </w:r>
    </w:p>
    <w:p w14:paraId="27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3.3.2. Организация работы среди несовершеннолетних по формированию устойчивых навыков противостояния вовлечению в употребление спиртных напитков, наркотических и психотропных средств.</w:t>
      </w:r>
    </w:p>
    <w:p w14:paraId="28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3.3.3 Санаторное и реабилитационное лечение детей на базе детских санаториев и реабилитационных учреждений здравоохранения.</w:t>
      </w:r>
    </w:p>
    <w:p w14:paraId="29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3.4. Обеспечению безопасного пространства.</w:t>
      </w:r>
    </w:p>
    <w:p w14:paraId="2A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3.4.</w:t>
      </w:r>
      <w:r>
        <w:rPr>
          <w:rFonts w:ascii="Times New Roman" w:hAnsi="Times New Roman"/>
          <w:color w:val="000000"/>
          <w:sz w:val="28"/>
        </w:rPr>
        <w:t>1</w:t>
      </w:r>
      <w:r>
        <w:rPr>
          <w:rFonts w:ascii="Times New Roman" w:hAnsi="Times New Roman"/>
          <w:color w:val="000000"/>
          <w:sz w:val="28"/>
        </w:rPr>
        <w:t>. Проведение консультаций граждан по вопросам пожарной безопасности.</w:t>
      </w:r>
    </w:p>
    <w:p w14:paraId="2B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3.4.</w:t>
      </w:r>
      <w:r>
        <w:rPr>
          <w:rFonts w:ascii="Times New Roman" w:hAnsi="Times New Roman"/>
          <w:color w:val="000000"/>
          <w:sz w:val="28"/>
        </w:rPr>
        <w:t>2</w:t>
      </w:r>
      <w:r>
        <w:rPr>
          <w:rFonts w:ascii="Times New Roman" w:hAnsi="Times New Roman"/>
          <w:color w:val="000000"/>
          <w:sz w:val="28"/>
        </w:rPr>
        <w:t>. Проведение профилактических занятий в образовательных организациях о мерах безопасности людей на водных объектах в зимний и весенний периоды.</w:t>
      </w:r>
    </w:p>
    <w:p w14:paraId="2C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3.4.</w:t>
      </w:r>
      <w:r>
        <w:rPr>
          <w:rFonts w:ascii="Times New Roman" w:hAnsi="Times New Roman"/>
          <w:color w:val="000000"/>
          <w:sz w:val="28"/>
        </w:rPr>
        <w:t>3</w:t>
      </w:r>
      <w:r>
        <w:rPr>
          <w:rFonts w:ascii="Times New Roman" w:hAnsi="Times New Roman"/>
          <w:color w:val="000000"/>
          <w:sz w:val="28"/>
        </w:rPr>
        <w:t>. Разработка и распространение информационных материалов и памяток о правилах в быту, о детской шалости с огнем.</w:t>
      </w:r>
    </w:p>
    <w:p w14:paraId="2D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</w:t>
      </w:r>
      <w:r>
        <w:rPr>
          <w:rFonts w:ascii="Times New Roman" w:hAnsi="Times New Roman"/>
          <w:color w:val="000000"/>
          <w:sz w:val="28"/>
        </w:rPr>
        <w:t>5</w:t>
      </w:r>
      <w:r>
        <w:rPr>
          <w:rFonts w:ascii="Times New Roman" w:hAnsi="Times New Roman"/>
          <w:color w:val="000000"/>
          <w:sz w:val="28"/>
        </w:rPr>
        <w:t>. Организация занятости несовершеннолетних:</w:t>
      </w:r>
    </w:p>
    <w:p w14:paraId="2E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</w:t>
      </w:r>
      <w:r>
        <w:rPr>
          <w:rFonts w:ascii="Times New Roman" w:hAnsi="Times New Roman"/>
          <w:color w:val="000000"/>
          <w:sz w:val="28"/>
        </w:rPr>
        <w:t>5</w:t>
      </w:r>
      <w:r>
        <w:rPr>
          <w:rFonts w:ascii="Times New Roman" w:hAnsi="Times New Roman"/>
          <w:color w:val="000000"/>
          <w:sz w:val="28"/>
        </w:rPr>
        <w:t>.1. Информирование несовершеннолетних граждан и их родителей о возможностях и условиях участия во временных работах, по вопросам трудового законодательства в отношении несовершеннолетних.</w:t>
      </w:r>
    </w:p>
    <w:p w14:paraId="2F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</w:t>
      </w:r>
      <w:r>
        <w:rPr>
          <w:rFonts w:ascii="Times New Roman" w:hAnsi="Times New Roman"/>
          <w:color w:val="000000"/>
          <w:sz w:val="28"/>
        </w:rPr>
        <w:t>5</w:t>
      </w:r>
      <w:r>
        <w:rPr>
          <w:rFonts w:ascii="Times New Roman" w:hAnsi="Times New Roman"/>
          <w:color w:val="000000"/>
          <w:sz w:val="28"/>
        </w:rPr>
        <w:t>.2.Организация профессиональной ориентации учащихся общеобразовательных организаций, в том числе детей групп риска, в целях оказания помощи в профессиональном самоопределении.</w:t>
      </w:r>
    </w:p>
    <w:p w14:paraId="30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</w:t>
      </w:r>
      <w:r>
        <w:rPr>
          <w:rFonts w:ascii="Times New Roman" w:hAnsi="Times New Roman"/>
          <w:color w:val="000000"/>
          <w:sz w:val="28"/>
        </w:rPr>
        <w:t>5</w:t>
      </w:r>
      <w:r>
        <w:rPr>
          <w:rFonts w:ascii="Times New Roman" w:hAnsi="Times New Roman"/>
          <w:color w:val="000000"/>
          <w:sz w:val="28"/>
        </w:rPr>
        <w:t>.3.Содействие временному трудоустройству подростков в свободное от учебы время, в первую очередь находящихся в трудной жизненной ситуации.</w:t>
      </w:r>
    </w:p>
    <w:p w14:paraId="31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</w:t>
      </w:r>
      <w:r>
        <w:rPr>
          <w:rFonts w:ascii="Times New Roman" w:hAnsi="Times New Roman"/>
          <w:color w:val="000000"/>
          <w:sz w:val="28"/>
        </w:rPr>
        <w:t>6</w:t>
      </w:r>
      <w:r>
        <w:rPr>
          <w:rFonts w:ascii="Times New Roman" w:hAnsi="Times New Roman"/>
          <w:color w:val="000000"/>
          <w:sz w:val="28"/>
        </w:rPr>
        <w:t>.Взыскания алиментных платежей:</w:t>
      </w:r>
    </w:p>
    <w:p w14:paraId="32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</w:t>
      </w:r>
      <w:r>
        <w:rPr>
          <w:rFonts w:ascii="Times New Roman" w:hAnsi="Times New Roman"/>
          <w:color w:val="000000"/>
          <w:sz w:val="28"/>
        </w:rPr>
        <w:t>6</w:t>
      </w:r>
      <w:r>
        <w:rPr>
          <w:rFonts w:ascii="Times New Roman" w:hAnsi="Times New Roman"/>
          <w:color w:val="000000"/>
          <w:sz w:val="28"/>
        </w:rPr>
        <w:t>.1. Проведение семинаров-консультаций для взыскателей по алиментным платежам по вопросам, касающимся алиментов и ответственности за неисполнение обязанностей по содержанию детей, с должниками, ненадлежащим образом исполняющими родительские обязанности по содержанию детей.</w:t>
      </w:r>
    </w:p>
    <w:p w14:paraId="33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</w:t>
      </w:r>
      <w:r>
        <w:rPr>
          <w:rFonts w:ascii="Times New Roman" w:hAnsi="Times New Roman"/>
          <w:color w:val="000000"/>
          <w:sz w:val="28"/>
        </w:rPr>
        <w:t>6</w:t>
      </w:r>
      <w:r>
        <w:rPr>
          <w:rFonts w:ascii="Times New Roman" w:hAnsi="Times New Roman"/>
          <w:color w:val="000000"/>
          <w:sz w:val="28"/>
        </w:rPr>
        <w:t xml:space="preserve">.2. Проведение рейдов по местам жительств </w:t>
      </w:r>
      <w:r>
        <w:rPr>
          <w:rFonts w:ascii="Times New Roman" w:hAnsi="Times New Roman"/>
          <w:color w:val="000000"/>
          <w:sz w:val="28"/>
        </w:rPr>
        <w:t>должников-злостных</w:t>
      </w:r>
      <w:r>
        <w:rPr>
          <w:rFonts w:ascii="Times New Roman" w:hAnsi="Times New Roman"/>
          <w:color w:val="000000"/>
          <w:sz w:val="28"/>
        </w:rPr>
        <w:t xml:space="preserve"> неплательщиков алиментов.</w:t>
      </w:r>
    </w:p>
    <w:p w14:paraId="34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4. Отделам образования и  культуры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принять ведомственные локальные нормативные акты, утвердить планы мероприятий по организации и проведению акции, с</w:t>
      </w:r>
      <w:r>
        <w:rPr>
          <w:rFonts w:ascii="Times New Roman" w:hAnsi="Times New Roman"/>
          <w:color w:val="000000"/>
          <w:sz w:val="28"/>
        </w:rPr>
        <w:t>роки исполнения и ответственных.</w:t>
      </w:r>
    </w:p>
    <w:p w14:paraId="35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5. Р</w:t>
      </w:r>
      <w:r>
        <w:rPr>
          <w:rFonts w:ascii="Times New Roman" w:hAnsi="Times New Roman"/>
          <w:color w:val="000000"/>
          <w:sz w:val="28"/>
        </w:rPr>
        <w:t xml:space="preserve">екомендовать </w:t>
      </w:r>
      <w:r>
        <w:rPr>
          <w:rFonts w:ascii="Times New Roman" w:hAnsi="Times New Roman"/>
          <w:color w:val="000000"/>
          <w:sz w:val="28"/>
        </w:rPr>
        <w:t xml:space="preserve">ГБУСО </w:t>
      </w:r>
      <w:r>
        <w:rPr>
          <w:rFonts w:ascii="Times New Roman" w:hAnsi="Times New Roman"/>
          <w:color w:val="000000"/>
          <w:sz w:val="28"/>
        </w:rPr>
        <w:t>Оренбургской области «Комплексный центр социального обслуживания  населения» в Северном районе, ГБУЗ «Северная РБ», по соглашению с Центром занятости населения, ОП МВД России «</w:t>
      </w:r>
      <w:r>
        <w:rPr>
          <w:rFonts w:ascii="Times New Roman" w:hAnsi="Times New Roman"/>
          <w:color w:val="000000"/>
          <w:sz w:val="28"/>
        </w:rPr>
        <w:t>Бугурусланский</w:t>
      </w:r>
      <w:r>
        <w:rPr>
          <w:rFonts w:ascii="Times New Roman" w:hAnsi="Times New Roman"/>
          <w:color w:val="000000"/>
          <w:sz w:val="28"/>
        </w:rPr>
        <w:t>», службой судебных приставов, уголовно-исполнительной инспекцией с учетом отраслевой направленности и приоритетных направлений деятельности в</w:t>
      </w:r>
      <w:bookmarkStart w:id="1" w:name="_GoBack"/>
      <w:bookmarkEnd w:id="1"/>
      <w:r>
        <w:rPr>
          <w:rFonts w:ascii="Times New Roman" w:hAnsi="Times New Roman"/>
          <w:color w:val="000000"/>
          <w:sz w:val="28"/>
        </w:rPr>
        <w:t xml:space="preserve"> пределах своей компетенции </w:t>
      </w:r>
      <w:r>
        <w:rPr>
          <w:rFonts w:ascii="Times New Roman" w:hAnsi="Times New Roman"/>
          <w:color w:val="000000"/>
          <w:sz w:val="28"/>
        </w:rPr>
        <w:t xml:space="preserve">принять </w:t>
      </w:r>
      <w:r>
        <w:rPr>
          <w:rFonts w:ascii="Times New Roman" w:hAnsi="Times New Roman"/>
          <w:color w:val="000000"/>
          <w:sz w:val="28"/>
        </w:rPr>
        <w:t>локаль-</w:t>
      </w:r>
      <w:r>
        <w:rPr>
          <w:rFonts w:ascii="Times New Roman" w:hAnsi="Times New Roman"/>
          <w:color w:val="000000"/>
          <w:sz w:val="28"/>
        </w:rPr>
        <w:t>ные</w:t>
      </w:r>
      <w:r>
        <w:rPr>
          <w:rFonts w:ascii="Times New Roman" w:hAnsi="Times New Roman"/>
          <w:color w:val="000000"/>
          <w:sz w:val="28"/>
        </w:rPr>
        <w:t xml:space="preserve"> нормативные акты, регламентирующие порядок проведения акции, определяющих объемы и источники финансирования мероприятий, сроки их исполнения и</w:t>
      </w:r>
      <w:r>
        <w:rPr>
          <w:rFonts w:ascii="Times New Roman" w:hAnsi="Times New Roman"/>
          <w:color w:val="000000"/>
          <w:sz w:val="28"/>
        </w:rPr>
        <w:t xml:space="preserve"> ответственных</w:t>
      </w:r>
      <w:r>
        <w:rPr>
          <w:rFonts w:ascii="Times New Roman" w:hAnsi="Times New Roman"/>
          <w:color w:val="000000"/>
          <w:sz w:val="28"/>
        </w:rPr>
        <w:t xml:space="preserve"> .</w:t>
      </w:r>
    </w:p>
    <w:p w14:paraId="36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6. Органам и учреждениям системы профилактики безнадзорности и правонарушений несовершеннолетних направить отчет о проведении акции в </w:t>
      </w:r>
      <w:r>
        <w:rPr>
          <w:rFonts w:ascii="Times New Roman" w:hAnsi="Times New Roman"/>
          <w:color w:val="000000"/>
          <w:sz w:val="28"/>
        </w:rPr>
        <w:t xml:space="preserve">комиссию по делам несовершеннолетних и защите их прав при администрации Северного района до </w:t>
      </w:r>
      <w:r>
        <w:rPr>
          <w:rFonts w:ascii="Times New Roman" w:hAnsi="Times New Roman"/>
          <w:color w:val="000000"/>
          <w:sz w:val="28"/>
        </w:rPr>
        <w:t>7</w:t>
      </w:r>
      <w:r>
        <w:rPr>
          <w:rFonts w:ascii="Times New Roman" w:hAnsi="Times New Roman"/>
          <w:color w:val="000000"/>
          <w:sz w:val="28"/>
        </w:rPr>
        <w:t xml:space="preserve"> марта 202</w:t>
      </w:r>
      <w:r>
        <w:rPr>
          <w:rFonts w:ascii="Times New Roman" w:hAnsi="Times New Roman"/>
          <w:color w:val="000000"/>
          <w:sz w:val="28"/>
        </w:rPr>
        <w:t>4</w:t>
      </w:r>
      <w:r>
        <w:rPr>
          <w:rFonts w:ascii="Times New Roman" w:hAnsi="Times New Roman"/>
          <w:color w:val="000000"/>
          <w:sz w:val="28"/>
        </w:rPr>
        <w:t xml:space="preserve"> года. </w:t>
      </w:r>
    </w:p>
    <w:p w14:paraId="37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7</w:t>
      </w:r>
      <w:r>
        <w:rPr>
          <w:rFonts w:ascii="Times New Roman" w:hAnsi="Times New Roman"/>
          <w:color w:val="000000"/>
          <w:sz w:val="28"/>
        </w:rPr>
        <w:t>. Рекомендовать главам администраций сельсоветов, председателям общественных комиссий по делам несовершеннолетних и защите их прав принять меры, направленные на выявление детей и подростков, нуждающихся в особой заботе государства, оказание им предметной адресной социальной, медицинской или материальной помощи и поддержки.</w:t>
      </w:r>
    </w:p>
    <w:p w14:paraId="38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8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Контроль за</w:t>
      </w:r>
      <w:r>
        <w:rPr>
          <w:rFonts w:ascii="Times New Roman" w:hAnsi="Times New Roman"/>
          <w:color w:val="000000"/>
          <w:sz w:val="28"/>
        </w:rPr>
        <w:t xml:space="preserve"> исполнением данного постановления возложить на 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заместителя главы администрации по социальным вопросам, председателя комиссии по делам несовершеннолетних и защите их прав Трофимова Н.К.</w:t>
      </w:r>
    </w:p>
    <w:p w14:paraId="39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9</w:t>
      </w:r>
      <w:r>
        <w:rPr>
          <w:rFonts w:ascii="Times New Roman" w:hAnsi="Times New Roman"/>
          <w:color w:val="000000"/>
          <w:sz w:val="28"/>
        </w:rPr>
        <w:t xml:space="preserve">. Настоящее постановление вступает в силу </w:t>
      </w:r>
      <w:r>
        <w:rPr>
          <w:rFonts w:ascii="Times New Roman" w:hAnsi="Times New Roman"/>
          <w:color w:val="000000"/>
          <w:sz w:val="28"/>
        </w:rPr>
        <w:t xml:space="preserve">после его опубликования в периодическом печатном </w:t>
      </w:r>
      <w:r>
        <w:rPr>
          <w:rFonts w:ascii="Times New Roman" w:hAnsi="Times New Roman"/>
          <w:color w:val="000000"/>
          <w:sz w:val="28"/>
        </w:rPr>
        <w:t>издании</w:t>
      </w:r>
      <w:r>
        <w:rPr>
          <w:rFonts w:ascii="Times New Roman" w:hAnsi="Times New Roman"/>
          <w:color w:val="000000"/>
          <w:sz w:val="28"/>
        </w:rPr>
        <w:t xml:space="preserve"> «Муниципальный вестник Северного района», </w:t>
      </w:r>
      <w:r>
        <w:rPr>
          <w:rFonts w:ascii="Times New Roman" w:hAnsi="Times New Roman"/>
          <w:color w:val="000000"/>
          <w:sz w:val="28"/>
        </w:rPr>
        <w:t xml:space="preserve">и </w:t>
      </w:r>
      <w:r>
        <w:rPr>
          <w:rFonts w:ascii="Times New Roman" w:hAnsi="Times New Roman"/>
          <w:sz w:val="28"/>
        </w:rPr>
        <w:t>подлежит размещению в сети Интернет на официальном сайте администрации Северного  района Оренбургской области.</w:t>
      </w:r>
      <w:r>
        <w:rPr>
          <w:rFonts w:ascii="Times New Roman" w:hAnsi="Times New Roman"/>
          <w:sz w:val="28"/>
        </w:rPr>
        <w:t xml:space="preserve"> </w:t>
      </w:r>
    </w:p>
    <w:p w14:paraId="3A000000">
      <w:pPr>
        <w:spacing w:after="0" w:line="240" w:lineRule="auto"/>
        <w:ind/>
        <w:rPr>
          <w:rFonts w:ascii="Times New Roman" w:hAnsi="Times New Roman"/>
          <w:color w:val="000000"/>
          <w:sz w:val="28"/>
        </w:rPr>
      </w:pPr>
    </w:p>
    <w:p w14:paraId="3B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</w:t>
      </w:r>
    </w:p>
    <w:p w14:paraId="3C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3D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лав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образования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М.В.Журкин</w:t>
      </w:r>
      <w:r>
        <w:rPr>
          <w:rFonts w:ascii="Times New Roman" w:hAnsi="Times New Roman"/>
          <w:sz w:val="28"/>
        </w:rPr>
        <w:t xml:space="preserve"> </w:t>
      </w:r>
    </w:p>
    <w:p w14:paraId="3E000000">
      <w:pPr>
        <w:ind w:firstLine="180" w:left="-18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14:paraId="3F000000">
      <w:pPr>
        <w:ind w:firstLine="888" w:left="2652"/>
        <w:rPr>
          <w:rFonts w:ascii="Tahoma" w:hAnsi="Tahoma"/>
          <w:sz w:val="28"/>
        </w:rPr>
      </w:pPr>
      <w:r>
        <w:rPr>
          <w:rFonts w:ascii="Tahoma" w:hAnsi="Tahoma"/>
          <w:sz w:val="16"/>
        </w:rPr>
        <w:t>[МЕСТО ДЛЯ ПОДПИСИ]</w:t>
      </w:r>
    </w:p>
    <w:p w14:paraId="40000000">
      <w:pPr>
        <w:ind w:firstLine="180" w:left="-180"/>
        <w:rPr>
          <w:rFonts w:ascii="Times New Roman" w:hAnsi="Times New Roman"/>
          <w:sz w:val="28"/>
        </w:rPr>
      </w:pPr>
    </w:p>
    <w:p w14:paraId="41000000">
      <w:pPr>
        <w:tabs>
          <w:tab w:leader="none" w:pos="0" w:val="left"/>
          <w:tab w:leader="none" w:pos="1560" w:val="left"/>
        </w:tabs>
        <w:spacing w:after="0" w:line="240" w:lineRule="auto"/>
        <w:ind w:hanging="1418" w:left="156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Разослано: в дело, </w:t>
      </w:r>
      <w:r>
        <w:rPr>
          <w:rFonts w:ascii="Times New Roman" w:hAnsi="Times New Roman"/>
          <w:color w:val="000000"/>
          <w:sz w:val="24"/>
        </w:rPr>
        <w:t>райпрокурору</w:t>
      </w:r>
      <w:r>
        <w:rPr>
          <w:rFonts w:ascii="Times New Roman" w:hAnsi="Times New Roman"/>
          <w:color w:val="000000"/>
          <w:sz w:val="24"/>
        </w:rPr>
        <w:t>, отделам образования, культуры, по физической культуре, спорту и туризму, главному специалисту по молодежной политике, ГБУСО «Комплексный центр социального обслуживания населения» в Северном районе, ОП  МО МВД России «</w:t>
      </w:r>
      <w:r>
        <w:rPr>
          <w:rFonts w:ascii="Times New Roman" w:hAnsi="Times New Roman"/>
          <w:color w:val="000000"/>
          <w:sz w:val="24"/>
        </w:rPr>
        <w:t>Бугурусланский</w:t>
      </w:r>
      <w:r>
        <w:rPr>
          <w:rFonts w:ascii="Times New Roman" w:hAnsi="Times New Roman"/>
          <w:color w:val="000000"/>
          <w:sz w:val="24"/>
        </w:rPr>
        <w:t>», ГБУЗ «Северная РБ», ГКУ «Центр занятости населения, уголовно-исполнительной  инспекции УФСИН России по Оренбургской области, службе судебных приставов, главам сельсоветов, редакции газеты «Северная звезда».</w:t>
      </w:r>
    </w:p>
    <w:p w14:paraId="42000000">
      <w:pPr>
        <w:ind w:firstLine="180" w:left="-180"/>
        <w:rPr>
          <w:rFonts w:ascii="Times New Roman" w:hAnsi="Times New Roman"/>
          <w:sz w:val="24"/>
        </w:rPr>
      </w:pPr>
    </w:p>
    <w:p w14:paraId="43000000">
      <w:pPr>
        <w:widowControl w:val="0"/>
        <w:spacing w:after="0" w:line="240" w:lineRule="auto"/>
        <w:ind/>
        <w:rPr>
          <w:rFonts w:ascii="Times New Roman" w:hAnsi="Times New Roman"/>
          <w:sz w:val="24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Знак1 Знак Знак"/>
    <w:basedOn w:val="Style_2"/>
    <w:link w:val="Style_7_ch"/>
    <w:pPr>
      <w:spacing w:after="160" w:line="240" w:lineRule="exact"/>
      <w:ind/>
    </w:pPr>
    <w:rPr>
      <w:rFonts w:ascii="Verdana" w:hAnsi="Verdana"/>
      <w:sz w:val="20"/>
    </w:rPr>
  </w:style>
  <w:style w:styleId="Style_7_ch" w:type="character">
    <w:name w:val="Знак1 Знак Знак"/>
    <w:basedOn w:val="Style_2_ch"/>
    <w:link w:val="Style_7"/>
    <w:rPr>
      <w:rFonts w:ascii="Verdana" w:hAnsi="Verdana"/>
      <w:sz w:val="20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Balloon Text"/>
    <w:basedOn w:val="Style_2"/>
    <w:link w:val="Style_10_ch"/>
    <w:pPr>
      <w:spacing w:after="0" w:line="240" w:lineRule="auto"/>
      <w:ind/>
    </w:pPr>
    <w:rPr>
      <w:rFonts w:ascii="Tahoma" w:hAnsi="Tahoma"/>
      <w:sz w:val="16"/>
    </w:rPr>
  </w:style>
  <w:style w:styleId="Style_10_ch" w:type="character">
    <w:name w:val="Balloon Text"/>
    <w:basedOn w:val="Style_2_ch"/>
    <w:link w:val="Style_10"/>
    <w:rPr>
      <w:rFonts w:ascii="Tahoma" w:hAnsi="Tahoma"/>
      <w:sz w:val="16"/>
    </w:rPr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toc 8"/>
    <w:next w:val="Style_2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2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2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2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2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2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styleId="Style_1" w:type="table">
    <w:name w:val="Table Grid"/>
    <w:basedOn w:val="Style_25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MyOffice-CoreFramework-Linux/29-1028.734.7326.662.0@DESKTOP-CASSIOPEIA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2023-12-25T06:54:04Z</dcterms:modified>
</cp:coreProperties>
</file>